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B6" w:rsidRPr="00B63800" w:rsidRDefault="00282087" w:rsidP="003254B6">
      <w:pPr>
        <w:jc w:val="center"/>
        <w:rPr>
          <w:sz w:val="28"/>
          <w:u w:val="single"/>
        </w:rPr>
      </w:pPr>
      <w:r>
        <w:rPr>
          <w:noProof/>
          <w:sz w:val="28"/>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120.6pt;margin-top:-19.65pt;width:281.25pt;height:45.75pt;z-index:251659264" fillcolor="#17365d [2415]" strokecolor="#17365d [2415]">
            <v:textbox>
              <w:txbxContent>
                <w:p w:rsidR="008E1A8A" w:rsidRPr="00282087" w:rsidRDefault="008E1A8A" w:rsidP="00282087">
                  <w:pPr>
                    <w:jc w:val="center"/>
                    <w:rPr>
                      <w:b/>
                      <w:color w:val="FFFFFF" w:themeColor="background1"/>
                      <w:sz w:val="40"/>
                      <w:szCs w:val="40"/>
                    </w:rPr>
                  </w:pPr>
                  <w:r w:rsidRPr="00282087">
                    <w:rPr>
                      <w:b/>
                      <w:color w:val="FFFFFF" w:themeColor="background1"/>
                      <w:sz w:val="40"/>
                      <w:szCs w:val="40"/>
                    </w:rPr>
                    <w:t>College and Career Readiness</w:t>
                  </w:r>
                </w:p>
              </w:txbxContent>
            </v:textbox>
          </v:shape>
        </w:pict>
      </w:r>
    </w:p>
    <w:p w:rsidR="00BD7459" w:rsidRPr="00B63800" w:rsidRDefault="00BD7459" w:rsidP="003254B6">
      <w:pPr>
        <w:jc w:val="center"/>
        <w:rPr>
          <w:i/>
          <w:sz w:val="36"/>
          <w:szCs w:val="32"/>
          <w:u w:val="single"/>
        </w:rPr>
      </w:pPr>
    </w:p>
    <w:p w:rsidR="00B63800" w:rsidRDefault="00B63800" w:rsidP="00F434B2">
      <w:pPr>
        <w:jc w:val="center"/>
        <w:rPr>
          <w:b/>
          <w:i/>
        </w:rPr>
      </w:pPr>
      <w:r w:rsidRPr="00B63800">
        <w:rPr>
          <w:b/>
          <w:i/>
          <w:sz w:val="28"/>
          <w:u w:val="single"/>
        </w:rPr>
        <w:t xml:space="preserve">Meeting </w:t>
      </w:r>
      <w:r w:rsidR="008E51AC">
        <w:rPr>
          <w:b/>
          <w:i/>
          <w:sz w:val="28"/>
          <w:u w:val="single"/>
        </w:rPr>
        <w:t>Summary</w:t>
      </w:r>
    </w:p>
    <w:p w:rsidR="003254B6" w:rsidRPr="0089253B" w:rsidRDefault="00822198" w:rsidP="00F434B2">
      <w:pPr>
        <w:jc w:val="center"/>
        <w:rPr>
          <w:b/>
          <w:i/>
        </w:rPr>
      </w:pPr>
      <w:r>
        <w:rPr>
          <w:b/>
          <w:i/>
        </w:rPr>
        <w:t>Tuesday, October</w:t>
      </w:r>
      <w:r w:rsidR="00C864BA">
        <w:rPr>
          <w:b/>
          <w:i/>
        </w:rPr>
        <w:t xml:space="preserve"> </w:t>
      </w:r>
      <w:r>
        <w:rPr>
          <w:b/>
          <w:i/>
        </w:rPr>
        <w:t>11</w:t>
      </w:r>
      <w:r w:rsidRPr="00822198">
        <w:rPr>
          <w:b/>
          <w:i/>
          <w:vertAlign w:val="superscript"/>
        </w:rPr>
        <w:t>th</w:t>
      </w:r>
      <w:r w:rsidR="00C864BA">
        <w:rPr>
          <w:b/>
          <w:i/>
        </w:rPr>
        <w:t xml:space="preserve">, </w:t>
      </w:r>
      <w:r w:rsidR="00E7427D" w:rsidRPr="0089253B">
        <w:rPr>
          <w:b/>
          <w:i/>
        </w:rPr>
        <w:t>20</w:t>
      </w:r>
      <w:r w:rsidR="007F3DB6">
        <w:rPr>
          <w:b/>
          <w:i/>
        </w:rPr>
        <w:t>1</w:t>
      </w:r>
      <w:r w:rsidR="00C864BA">
        <w:rPr>
          <w:b/>
          <w:i/>
        </w:rPr>
        <w:t>1</w:t>
      </w:r>
    </w:p>
    <w:p w:rsidR="00DD2CB1" w:rsidRDefault="00D12054" w:rsidP="00F434B2">
      <w:pPr>
        <w:jc w:val="center"/>
        <w:rPr>
          <w:b/>
          <w:i/>
        </w:rPr>
      </w:pPr>
      <w:r>
        <w:rPr>
          <w:b/>
          <w:i/>
        </w:rPr>
        <w:t>9:00 a</w:t>
      </w:r>
      <w:r w:rsidR="00893F99">
        <w:rPr>
          <w:b/>
          <w:i/>
        </w:rPr>
        <w:t>.m.</w:t>
      </w:r>
      <w:r w:rsidR="00757B00">
        <w:rPr>
          <w:b/>
          <w:i/>
        </w:rPr>
        <w:t xml:space="preserve"> – </w:t>
      </w:r>
      <w:r>
        <w:rPr>
          <w:b/>
          <w:i/>
        </w:rPr>
        <w:t>12</w:t>
      </w:r>
      <w:r w:rsidR="00893F99">
        <w:rPr>
          <w:b/>
          <w:i/>
        </w:rPr>
        <w:t>:</w:t>
      </w:r>
      <w:r w:rsidR="00D9375C">
        <w:rPr>
          <w:b/>
          <w:i/>
        </w:rPr>
        <w:t>0</w:t>
      </w:r>
      <w:r w:rsidR="00893F99">
        <w:rPr>
          <w:b/>
          <w:i/>
        </w:rPr>
        <w:t>0</w:t>
      </w:r>
      <w:r w:rsidR="00757B00">
        <w:rPr>
          <w:b/>
          <w:i/>
        </w:rPr>
        <w:t xml:space="preserve"> p.m.</w:t>
      </w:r>
    </w:p>
    <w:p w:rsidR="00F434B2" w:rsidRPr="006E6027" w:rsidRDefault="00F434B2" w:rsidP="006E6027">
      <w:pPr>
        <w:pStyle w:val="Heading2"/>
        <w:jc w:val="left"/>
        <w:rPr>
          <w:sz w:val="28"/>
          <w:szCs w:val="28"/>
        </w:rPr>
      </w:pPr>
    </w:p>
    <w:p w:rsidR="00822198" w:rsidRDefault="00822198" w:rsidP="00822198">
      <w:pPr>
        <w:pStyle w:val="Default"/>
      </w:pPr>
    </w:p>
    <w:p w:rsidR="00822198" w:rsidRDefault="00822198" w:rsidP="00822198">
      <w:pPr>
        <w:pStyle w:val="Default"/>
        <w:rPr>
          <w:sz w:val="23"/>
          <w:szCs w:val="23"/>
        </w:rPr>
      </w:pPr>
      <w:r>
        <w:t xml:space="preserve"> </w:t>
      </w:r>
      <w:r>
        <w:rPr>
          <w:b/>
          <w:bCs/>
          <w:sz w:val="23"/>
          <w:szCs w:val="23"/>
        </w:rPr>
        <w:t>Meeting Objectives</w:t>
      </w:r>
      <w:r w:rsidRPr="00822198">
        <w:rPr>
          <w:b/>
          <w:bCs/>
          <w:iCs/>
          <w:sz w:val="23"/>
          <w:szCs w:val="23"/>
        </w:rPr>
        <w:t xml:space="preserve">: </w:t>
      </w:r>
      <w:r w:rsidRPr="00822198">
        <w:rPr>
          <w:b/>
          <w:bCs/>
          <w:iCs/>
          <w:sz w:val="23"/>
          <w:szCs w:val="23"/>
        </w:rPr>
        <w:tab/>
      </w:r>
      <w:r>
        <w:rPr>
          <w:i/>
          <w:iCs/>
          <w:sz w:val="23"/>
          <w:szCs w:val="23"/>
        </w:rPr>
        <w:t xml:space="preserve">Overview of Act 163 - HSR Commission Name and Membership Changes </w:t>
      </w:r>
    </w:p>
    <w:p w:rsidR="00822198" w:rsidRDefault="00822198" w:rsidP="00822198">
      <w:pPr>
        <w:pStyle w:val="Default"/>
        <w:ind w:left="2160"/>
        <w:rPr>
          <w:sz w:val="23"/>
          <w:szCs w:val="23"/>
        </w:rPr>
      </w:pPr>
      <w:r>
        <w:rPr>
          <w:i/>
          <w:iCs/>
          <w:sz w:val="23"/>
          <w:szCs w:val="23"/>
        </w:rPr>
        <w:t xml:space="preserve">College and Career Readiness Report Card </w:t>
      </w:r>
    </w:p>
    <w:p w:rsidR="00822198" w:rsidRDefault="00822198" w:rsidP="00822198">
      <w:pPr>
        <w:pStyle w:val="Default"/>
        <w:ind w:left="2160"/>
        <w:rPr>
          <w:sz w:val="23"/>
          <w:szCs w:val="23"/>
        </w:rPr>
      </w:pPr>
      <w:r>
        <w:rPr>
          <w:i/>
          <w:iCs/>
          <w:sz w:val="23"/>
          <w:szCs w:val="23"/>
        </w:rPr>
        <w:t xml:space="preserve">Update on </w:t>
      </w:r>
      <w:r w:rsidRPr="00B87C14">
        <w:rPr>
          <w:iCs/>
          <w:sz w:val="23"/>
          <w:szCs w:val="23"/>
        </w:rPr>
        <w:t>Proposed</w:t>
      </w:r>
      <w:r>
        <w:rPr>
          <w:i/>
          <w:iCs/>
          <w:sz w:val="23"/>
          <w:szCs w:val="23"/>
        </w:rPr>
        <w:t xml:space="preserve"> Advanced Placement (AP) Policy </w:t>
      </w:r>
    </w:p>
    <w:p w:rsidR="00822198" w:rsidRDefault="00822198" w:rsidP="00822198">
      <w:pPr>
        <w:pStyle w:val="Default"/>
        <w:ind w:left="2160"/>
        <w:rPr>
          <w:sz w:val="23"/>
          <w:szCs w:val="23"/>
        </w:rPr>
      </w:pPr>
      <w:r>
        <w:rPr>
          <w:i/>
          <w:iCs/>
          <w:sz w:val="23"/>
          <w:szCs w:val="23"/>
        </w:rPr>
        <w:t xml:space="preserve">Update on Seat Time Waiver Policy/Act 660/ASAP </w:t>
      </w:r>
    </w:p>
    <w:p w:rsidR="006577B3" w:rsidRPr="00993F56" w:rsidRDefault="00822198" w:rsidP="00822198">
      <w:pPr>
        <w:pStyle w:val="NormalWeb"/>
        <w:shd w:val="clear" w:color="auto" w:fill="FFFFFF"/>
        <w:tabs>
          <w:tab w:val="left" w:pos="1920"/>
        </w:tabs>
        <w:spacing w:before="0" w:after="0"/>
        <w:ind w:left="2160"/>
        <w:rPr>
          <w:i/>
        </w:rPr>
      </w:pPr>
      <w:r>
        <w:rPr>
          <w:i/>
          <w:iCs/>
          <w:sz w:val="23"/>
          <w:szCs w:val="23"/>
        </w:rPr>
        <w:t>Delivery Update</w:t>
      </w:r>
      <w:r>
        <w:rPr>
          <w:i/>
          <w:iCs/>
          <w:sz w:val="23"/>
          <w:szCs w:val="23"/>
        </w:rPr>
        <w:tab/>
      </w:r>
    </w:p>
    <w:p w:rsidR="006577B3" w:rsidRDefault="0032697E" w:rsidP="00790E46">
      <w:pPr>
        <w:rPr>
          <w:b/>
        </w:rPr>
      </w:pPr>
      <w:r>
        <w:rPr>
          <w:b/>
          <w:noProof/>
        </w:rPr>
        <w:pict>
          <v:line id="_x0000_s1027" style="position:absolute;z-index:251658240" from="2.4pt,5.1pt" to="494.4pt,5.1pt" strokeweight="4pt">
            <v:stroke linestyle="thickBetweenThin"/>
          </v:line>
        </w:pict>
      </w:r>
    </w:p>
    <w:p w:rsidR="006E6027" w:rsidRDefault="00762556" w:rsidP="001C1675">
      <w:r>
        <w:t>C</w:t>
      </w:r>
      <w:r w:rsidR="006E6027" w:rsidRPr="00BF77AF">
        <w:t>ommissioners/</w:t>
      </w:r>
      <w:r w:rsidR="00A80D05">
        <w:t>P</w:t>
      </w:r>
      <w:r w:rsidR="006E6027" w:rsidRPr="00BF77AF">
        <w:t>roxies</w:t>
      </w:r>
      <w:r>
        <w:t xml:space="preserve"> </w:t>
      </w:r>
      <w:r w:rsidR="00A80D05">
        <w:t>A</w:t>
      </w:r>
      <w:r>
        <w:t>ttending</w:t>
      </w:r>
      <w:r w:rsidR="006E6027" w:rsidRPr="00BF77AF">
        <w:t>:</w:t>
      </w:r>
      <w:r w:rsidR="00BF77AF" w:rsidRPr="00BF77AF">
        <w:t xml:space="preserve"> </w:t>
      </w:r>
      <w:r w:rsidR="003E433C">
        <w:t xml:space="preserve">Troy Allen, Jay Augustine, </w:t>
      </w:r>
      <w:r w:rsidR="00326791">
        <w:t xml:space="preserve">Pat Deaville for Dale Bayard, </w:t>
      </w:r>
      <w:r w:rsidR="003E433C">
        <w:t xml:space="preserve">Jemi Carlone, David Clayton, Michael Faulk, Wayne Fetter, Emily Howell, Linda Johnson, Melicent Lester, </w:t>
      </w:r>
      <w:r w:rsidR="00693E23">
        <w:t>Lisa Vosper</w:t>
      </w:r>
      <w:r w:rsidR="003E433C">
        <w:t xml:space="preserve"> for Robert Levy, Girard </w:t>
      </w:r>
      <w:r w:rsidR="007F01CD">
        <w:t>M</w:t>
      </w:r>
      <w:r w:rsidR="003E433C">
        <w:t>[illegible] for Mary Livers, Derrick Manns, Diann Moran, Jeanne C. Johnston for Ben Nevers, Stafford Palmieri, William C. Percy, Meg Casper for Jim Purcell, Jim Randels, Debbie Schum, Donna Sedevie, Carol Tall, Ollie S. Tyler</w:t>
      </w:r>
    </w:p>
    <w:p w:rsidR="00C864BA" w:rsidRPr="00BF77AF" w:rsidRDefault="00C864BA" w:rsidP="001C1675"/>
    <w:p w:rsidR="004445F6" w:rsidRPr="00A93D8D" w:rsidRDefault="00762556" w:rsidP="001C1675">
      <w:r>
        <w:t xml:space="preserve">Commissioners </w:t>
      </w:r>
      <w:r w:rsidR="00A80D05">
        <w:t>N</w:t>
      </w:r>
      <w:r>
        <w:t xml:space="preserve">ot </w:t>
      </w:r>
      <w:r w:rsidR="00A80D05">
        <w:t>A</w:t>
      </w:r>
      <w:r>
        <w:t>ttending:</w:t>
      </w:r>
      <w:r w:rsidR="00C864BA">
        <w:t xml:space="preserve"> </w:t>
      </w:r>
      <w:r w:rsidR="003E433C">
        <w:t>Austin Badon, Connie Bradford, Glenny Lee Buquet, Kimberlee Gazzolo, Randy Moffett, Charles Moniotte, Elvin Pradia, Jim Randels</w:t>
      </w:r>
    </w:p>
    <w:p w:rsidR="00E12466" w:rsidRPr="00993F56" w:rsidRDefault="00E12466" w:rsidP="001C1675">
      <w:pPr>
        <w:rPr>
          <w:b/>
        </w:rPr>
      </w:pPr>
    </w:p>
    <w:p w:rsidR="003254B6" w:rsidRDefault="00191DFC" w:rsidP="001C1675">
      <w:pPr>
        <w:rPr>
          <w:b/>
        </w:rPr>
      </w:pPr>
      <w:r>
        <w:rPr>
          <w:b/>
        </w:rPr>
        <w:t>The Commission meeting commenced at 9:05 a.m. with greetings and introductions by:</w:t>
      </w:r>
      <w:r w:rsidR="003254B6" w:rsidRPr="00993F56">
        <w:rPr>
          <w:b/>
        </w:rPr>
        <w:t xml:space="preserve"> </w:t>
      </w:r>
    </w:p>
    <w:p w:rsidR="00C076C7" w:rsidRPr="007C1584" w:rsidRDefault="007C06DF" w:rsidP="001C1675">
      <w:pPr>
        <w:ind w:left="720"/>
        <w:rPr>
          <w:b/>
        </w:rPr>
      </w:pPr>
      <w:r w:rsidRPr="007C1584">
        <w:t>De</w:t>
      </w:r>
      <w:r w:rsidR="00E435FA" w:rsidRPr="007C1584">
        <w:t>bbie Schum, Executive</w:t>
      </w:r>
      <w:r w:rsidRPr="007C1584">
        <w:t xml:space="preserve"> </w:t>
      </w:r>
      <w:r w:rsidR="00E435FA" w:rsidRPr="007C1584">
        <w:t>Director, College &amp; Career Readiness (CCR)</w:t>
      </w:r>
    </w:p>
    <w:p w:rsidR="008E4F2E" w:rsidRPr="007C1584" w:rsidRDefault="008E4F2E" w:rsidP="001C1675">
      <w:pPr>
        <w:ind w:left="720"/>
      </w:pPr>
      <w:r w:rsidRPr="007C1584">
        <w:t>Linda Johnson, BESE Member</w:t>
      </w:r>
      <w:r w:rsidR="00C26988" w:rsidRPr="007C1584">
        <w:t xml:space="preserve">, </w:t>
      </w:r>
      <w:r w:rsidRPr="007C1584">
        <w:t xml:space="preserve">HSR Commission </w:t>
      </w:r>
      <w:r w:rsidR="00284F00" w:rsidRPr="007C1584">
        <w:t>Co-</w:t>
      </w:r>
      <w:r w:rsidRPr="007C1584">
        <w:t xml:space="preserve">Chairperson </w:t>
      </w:r>
    </w:p>
    <w:p w:rsidR="00C864BA" w:rsidRPr="00533B88" w:rsidRDefault="00C864BA" w:rsidP="001C1675">
      <w:pPr>
        <w:ind w:left="720"/>
        <w:rPr>
          <w:i/>
        </w:rPr>
      </w:pPr>
      <w:r w:rsidRPr="007C1584">
        <w:t>Troy Allen</w:t>
      </w:r>
      <w:r w:rsidR="006E6027" w:rsidRPr="007C1584">
        <w:t>,</w:t>
      </w:r>
      <w:r w:rsidR="00B63800" w:rsidRPr="007C1584">
        <w:t xml:space="preserve"> BESE Member, HSR Commission Co-Chairperson</w:t>
      </w:r>
    </w:p>
    <w:p w:rsidR="006E6027" w:rsidRDefault="001926A0" w:rsidP="001C1675">
      <w:pPr>
        <w:ind w:left="2880" w:hanging="2160"/>
      </w:pPr>
      <w:r>
        <w:t>Commission members introduced themselves.</w:t>
      </w:r>
    </w:p>
    <w:p w:rsidR="007B7704" w:rsidRDefault="007B7704" w:rsidP="001C1675">
      <w:pPr>
        <w:ind w:left="720"/>
        <w:contextualSpacing/>
      </w:pPr>
    </w:p>
    <w:p w:rsidR="00726037" w:rsidRPr="00726037" w:rsidRDefault="00726037" w:rsidP="00726037">
      <w:pPr>
        <w:contextualSpacing/>
        <w:rPr>
          <w:rFonts w:eastAsiaTheme="minorHAnsi"/>
          <w:b/>
        </w:rPr>
      </w:pPr>
      <w:r w:rsidRPr="00726037">
        <w:rPr>
          <w:rFonts w:eastAsiaTheme="minorHAnsi"/>
          <w:b/>
        </w:rPr>
        <w:t>HSR to CCR Name Change and New Membership</w:t>
      </w:r>
    </w:p>
    <w:p w:rsidR="007B7704" w:rsidRDefault="00231FA3" w:rsidP="009A2354">
      <w:pPr>
        <w:ind w:firstLine="720"/>
        <w:contextualSpacing/>
        <w:rPr>
          <w:rFonts w:eastAsiaTheme="minorHAnsi"/>
        </w:rPr>
      </w:pPr>
      <w:r w:rsidRPr="001C1675">
        <w:rPr>
          <w:rFonts w:eastAsiaTheme="minorHAnsi"/>
        </w:rPr>
        <w:t>Debbie</w:t>
      </w:r>
      <w:r w:rsidR="001C1675" w:rsidRPr="001C1675">
        <w:rPr>
          <w:rFonts w:eastAsiaTheme="minorHAnsi"/>
        </w:rPr>
        <w:t xml:space="preserve"> Schum</w:t>
      </w:r>
      <w:r w:rsidRPr="00231FA3">
        <w:rPr>
          <w:rFonts w:eastAsiaTheme="minorHAnsi"/>
        </w:rPr>
        <w:t xml:space="preserve"> Introduced Act 163</w:t>
      </w:r>
      <w:r w:rsidR="007F01CD">
        <w:rPr>
          <w:rFonts w:eastAsiaTheme="minorHAnsi"/>
        </w:rPr>
        <w:t xml:space="preserve"> of 2011</w:t>
      </w:r>
      <w:r w:rsidRPr="00231FA3">
        <w:rPr>
          <w:rFonts w:eastAsiaTheme="minorHAnsi"/>
        </w:rPr>
        <w:t xml:space="preserve">, which provided for HSR </w:t>
      </w:r>
      <w:r w:rsidR="007F01CD">
        <w:rPr>
          <w:rFonts w:eastAsiaTheme="minorHAnsi"/>
        </w:rPr>
        <w:t>to</w:t>
      </w:r>
      <w:r w:rsidRPr="00231FA3">
        <w:rPr>
          <w:rFonts w:eastAsiaTheme="minorHAnsi"/>
        </w:rPr>
        <w:t xml:space="preserve"> CCR name change </w:t>
      </w:r>
      <w:r w:rsidR="007F01CD">
        <w:rPr>
          <w:rFonts w:eastAsiaTheme="minorHAnsi"/>
        </w:rPr>
        <w:t xml:space="preserve">and </w:t>
      </w:r>
      <w:r w:rsidRPr="00231FA3">
        <w:rPr>
          <w:rFonts w:eastAsiaTheme="minorHAnsi"/>
        </w:rPr>
        <w:t xml:space="preserve">new membership. </w:t>
      </w:r>
      <w:r w:rsidR="007F01CD">
        <w:rPr>
          <w:rFonts w:eastAsiaTheme="minorHAnsi"/>
        </w:rPr>
        <w:t>This n</w:t>
      </w:r>
      <w:r w:rsidRPr="00231FA3">
        <w:rPr>
          <w:rFonts w:eastAsiaTheme="minorHAnsi"/>
        </w:rPr>
        <w:t xml:space="preserve">ew law streamlined redundancy in organization representation </w:t>
      </w:r>
      <w:r w:rsidR="007F01CD">
        <w:rPr>
          <w:rFonts w:eastAsiaTheme="minorHAnsi"/>
        </w:rPr>
        <w:t>and</w:t>
      </w:r>
      <w:r w:rsidRPr="00231FA3">
        <w:rPr>
          <w:rFonts w:eastAsiaTheme="minorHAnsi"/>
        </w:rPr>
        <w:t xml:space="preserve"> obsolete membership. The mission has not changed</w:t>
      </w:r>
      <w:r w:rsidR="007F01CD">
        <w:rPr>
          <w:rFonts w:eastAsiaTheme="minorHAnsi"/>
        </w:rPr>
        <w:t>;</w:t>
      </w:r>
      <w:r w:rsidRPr="00231FA3">
        <w:rPr>
          <w:rFonts w:eastAsiaTheme="minorHAnsi"/>
        </w:rPr>
        <w:t xml:space="preserve"> Debbie reviewed it. She mentioned removal criteria</w:t>
      </w:r>
      <w:r w:rsidR="007F01CD">
        <w:rPr>
          <w:rFonts w:eastAsiaTheme="minorHAnsi"/>
        </w:rPr>
        <w:t xml:space="preserve"> from the commission</w:t>
      </w:r>
      <w:r w:rsidRPr="00231FA3">
        <w:rPr>
          <w:rFonts w:eastAsiaTheme="minorHAnsi"/>
        </w:rPr>
        <w:t xml:space="preserve">. </w:t>
      </w:r>
    </w:p>
    <w:p w:rsidR="007B7704" w:rsidRDefault="007B7704" w:rsidP="001C1675">
      <w:pPr>
        <w:contextualSpacing/>
        <w:rPr>
          <w:rFonts w:eastAsiaTheme="minorHAnsi"/>
        </w:rPr>
      </w:pPr>
    </w:p>
    <w:p w:rsidR="00726037" w:rsidRPr="00726037" w:rsidRDefault="00726037" w:rsidP="00726037">
      <w:pPr>
        <w:contextualSpacing/>
        <w:rPr>
          <w:rFonts w:eastAsiaTheme="minorHAnsi"/>
          <w:b/>
        </w:rPr>
      </w:pPr>
      <w:r w:rsidRPr="00726037">
        <w:rPr>
          <w:rFonts w:eastAsiaTheme="minorHAnsi"/>
          <w:b/>
        </w:rPr>
        <w:t>C</w:t>
      </w:r>
      <w:r>
        <w:rPr>
          <w:rFonts w:eastAsiaTheme="minorHAnsi"/>
          <w:b/>
        </w:rPr>
        <w:t>ollege and Career Readiness (C</w:t>
      </w:r>
      <w:r w:rsidRPr="00726037">
        <w:rPr>
          <w:rFonts w:eastAsiaTheme="minorHAnsi"/>
          <w:b/>
        </w:rPr>
        <w:t>CR</w:t>
      </w:r>
      <w:r>
        <w:rPr>
          <w:rFonts w:eastAsiaTheme="minorHAnsi"/>
          <w:b/>
        </w:rPr>
        <w:t>)</w:t>
      </w:r>
      <w:r w:rsidRPr="00726037">
        <w:rPr>
          <w:rFonts w:eastAsiaTheme="minorHAnsi"/>
          <w:b/>
        </w:rPr>
        <w:t xml:space="preserve"> Report Card</w:t>
      </w:r>
    </w:p>
    <w:p w:rsidR="00231FA3" w:rsidRPr="007A679D" w:rsidRDefault="00231FA3" w:rsidP="009A2354">
      <w:pPr>
        <w:ind w:firstLine="720"/>
        <w:contextualSpacing/>
        <w:rPr>
          <w:rFonts w:eastAsiaTheme="minorHAnsi"/>
        </w:rPr>
      </w:pPr>
      <w:r w:rsidRPr="001C1675">
        <w:rPr>
          <w:rFonts w:eastAsiaTheme="minorHAnsi"/>
        </w:rPr>
        <w:t>Debbie</w:t>
      </w:r>
      <w:r w:rsidR="001C1675" w:rsidRPr="001C1675">
        <w:rPr>
          <w:rFonts w:eastAsiaTheme="minorHAnsi"/>
        </w:rPr>
        <w:t xml:space="preserve"> Schum r</w:t>
      </w:r>
      <w:r w:rsidRPr="001C1675">
        <w:rPr>
          <w:rFonts w:eastAsiaTheme="minorHAnsi"/>
        </w:rPr>
        <w:t>eviewed</w:t>
      </w:r>
      <w:r w:rsidRPr="00231FA3">
        <w:rPr>
          <w:rFonts w:eastAsiaTheme="minorHAnsi"/>
        </w:rPr>
        <w:t xml:space="preserve"> revised version of CCR Report Card based on feedback received from last meeting.</w:t>
      </w:r>
    </w:p>
    <w:p w:rsidR="00231FA3" w:rsidRPr="00231FA3" w:rsidRDefault="00231FA3" w:rsidP="001C1675">
      <w:pPr>
        <w:numPr>
          <w:ilvl w:val="1"/>
          <w:numId w:val="10"/>
        </w:numPr>
        <w:contextualSpacing/>
        <w:rPr>
          <w:rFonts w:eastAsiaTheme="minorHAnsi"/>
        </w:rPr>
      </w:pPr>
      <w:r w:rsidRPr="00231FA3">
        <w:rPr>
          <w:rFonts w:eastAsiaTheme="minorHAnsi"/>
        </w:rPr>
        <w:t>Purpose is to get a snapshot around Co</w:t>
      </w:r>
      <w:r w:rsidR="007F01CD">
        <w:rPr>
          <w:rFonts w:eastAsiaTheme="minorHAnsi"/>
        </w:rPr>
        <w:t>llege and Career Readiness and high school</w:t>
      </w:r>
      <w:r w:rsidRPr="00231FA3">
        <w:rPr>
          <w:rFonts w:eastAsiaTheme="minorHAnsi"/>
        </w:rPr>
        <w:t xml:space="preserve"> on-time completion. </w:t>
      </w:r>
    </w:p>
    <w:p w:rsidR="00231FA3" w:rsidRPr="00231FA3" w:rsidRDefault="00231FA3" w:rsidP="001C1675">
      <w:pPr>
        <w:numPr>
          <w:ilvl w:val="1"/>
          <w:numId w:val="10"/>
        </w:numPr>
        <w:contextualSpacing/>
        <w:rPr>
          <w:rFonts w:eastAsiaTheme="minorHAnsi"/>
        </w:rPr>
      </w:pPr>
      <w:r w:rsidRPr="00231FA3">
        <w:rPr>
          <w:rFonts w:eastAsiaTheme="minorHAnsi"/>
        </w:rPr>
        <w:t xml:space="preserve">This version is somewhat streamlined compared to prior version. </w:t>
      </w:r>
    </w:p>
    <w:p w:rsidR="00231FA3" w:rsidRDefault="00231FA3" w:rsidP="001C1675">
      <w:pPr>
        <w:numPr>
          <w:ilvl w:val="1"/>
          <w:numId w:val="10"/>
        </w:numPr>
        <w:contextualSpacing/>
        <w:rPr>
          <w:rFonts w:eastAsiaTheme="minorHAnsi"/>
        </w:rPr>
      </w:pPr>
      <w:r w:rsidRPr="00726037">
        <w:rPr>
          <w:rFonts w:eastAsiaTheme="minorHAnsi"/>
          <w:b/>
        </w:rPr>
        <w:t>Question</w:t>
      </w:r>
      <w:r w:rsidRPr="00231FA3">
        <w:rPr>
          <w:rFonts w:eastAsiaTheme="minorHAnsi"/>
        </w:rPr>
        <w:t>: Is this to be sent out like Accountability Report Card</w:t>
      </w:r>
      <w:r w:rsidR="007F01CD">
        <w:rPr>
          <w:rFonts w:eastAsiaTheme="minorHAnsi"/>
        </w:rPr>
        <w:t>s</w:t>
      </w:r>
      <w:r w:rsidRPr="00231FA3">
        <w:rPr>
          <w:rFonts w:eastAsiaTheme="minorHAnsi"/>
        </w:rPr>
        <w:t>?</w:t>
      </w:r>
    </w:p>
    <w:p w:rsidR="00726037" w:rsidRPr="00726037" w:rsidRDefault="00913FDF" w:rsidP="00726037">
      <w:pPr>
        <w:pStyle w:val="ListParagraph"/>
        <w:numPr>
          <w:ilvl w:val="2"/>
          <w:numId w:val="10"/>
        </w:numPr>
        <w:rPr>
          <w:rFonts w:eastAsiaTheme="minorHAnsi"/>
        </w:rPr>
      </w:pPr>
      <w:r>
        <w:rPr>
          <w:rFonts w:eastAsiaTheme="minorHAnsi"/>
          <w:u w:val="single"/>
        </w:rPr>
        <w:t>Ms. Schum</w:t>
      </w:r>
      <w:r w:rsidR="00726037" w:rsidRPr="00726037">
        <w:rPr>
          <w:rFonts w:eastAsiaTheme="minorHAnsi"/>
        </w:rPr>
        <w:t>: Initial plan is just to provide to schools and LEAs because currently the data are not easy to find or in a central location, but it is possible in the future.</w:t>
      </w:r>
    </w:p>
    <w:p w:rsidR="00726037" w:rsidRDefault="00726037" w:rsidP="00726037">
      <w:pPr>
        <w:pStyle w:val="ListParagraph"/>
        <w:numPr>
          <w:ilvl w:val="1"/>
          <w:numId w:val="10"/>
        </w:numPr>
        <w:rPr>
          <w:rFonts w:eastAsiaTheme="minorHAnsi"/>
        </w:rPr>
      </w:pPr>
      <w:r w:rsidRPr="00726037">
        <w:rPr>
          <w:rFonts w:eastAsiaTheme="minorHAnsi"/>
          <w:b/>
        </w:rPr>
        <w:t>Comment</w:t>
      </w:r>
      <w:r w:rsidRPr="00726037">
        <w:rPr>
          <w:rFonts w:eastAsiaTheme="minorHAnsi"/>
        </w:rPr>
        <w:t>: Business and industry would be very interested in such data.    Can we show a 5-year cohort graduation rate?</w:t>
      </w:r>
    </w:p>
    <w:p w:rsidR="00726037" w:rsidRPr="00726037" w:rsidRDefault="00913FDF" w:rsidP="00726037">
      <w:pPr>
        <w:pStyle w:val="ListParagraph"/>
        <w:numPr>
          <w:ilvl w:val="2"/>
          <w:numId w:val="10"/>
        </w:numPr>
        <w:rPr>
          <w:rFonts w:eastAsiaTheme="minorHAnsi"/>
        </w:rPr>
      </w:pPr>
      <w:r>
        <w:rPr>
          <w:rFonts w:eastAsiaTheme="minorHAnsi"/>
          <w:u w:val="single"/>
        </w:rPr>
        <w:t>Ms. Schum</w:t>
      </w:r>
      <w:r w:rsidR="00726037" w:rsidRPr="00726037">
        <w:rPr>
          <w:rFonts w:eastAsiaTheme="minorHAnsi"/>
        </w:rPr>
        <w:t>: We will look at that possibility.</w:t>
      </w:r>
    </w:p>
    <w:p w:rsidR="00726037" w:rsidRPr="00726037" w:rsidRDefault="007B5E65" w:rsidP="00726037">
      <w:pPr>
        <w:pStyle w:val="ListParagraph"/>
        <w:numPr>
          <w:ilvl w:val="1"/>
          <w:numId w:val="10"/>
        </w:numPr>
        <w:rPr>
          <w:rFonts w:eastAsiaTheme="minorHAnsi"/>
        </w:rPr>
      </w:pPr>
      <w:r w:rsidRPr="007B5E65">
        <w:rPr>
          <w:rFonts w:eastAsiaTheme="minorHAnsi"/>
          <w:b/>
        </w:rPr>
        <w:t>Comment</w:t>
      </w:r>
      <w:r>
        <w:rPr>
          <w:rFonts w:eastAsiaTheme="minorHAnsi"/>
        </w:rPr>
        <w:t>: Need to corr</w:t>
      </w:r>
      <w:r w:rsidRPr="00231FA3">
        <w:rPr>
          <w:rFonts w:eastAsiaTheme="minorHAnsi"/>
        </w:rPr>
        <w:t xml:space="preserve">ect </w:t>
      </w:r>
      <w:r>
        <w:rPr>
          <w:rFonts w:eastAsiaTheme="minorHAnsi"/>
        </w:rPr>
        <w:t>“</w:t>
      </w:r>
      <w:r w:rsidRPr="00231FA3">
        <w:rPr>
          <w:rFonts w:eastAsiaTheme="minorHAnsi"/>
        </w:rPr>
        <w:t>parish</w:t>
      </w:r>
      <w:r>
        <w:rPr>
          <w:rFonts w:eastAsiaTheme="minorHAnsi"/>
        </w:rPr>
        <w:t>” as “district” to include school districts that are not parishes.</w:t>
      </w:r>
    </w:p>
    <w:p w:rsidR="007B5E65" w:rsidRPr="007B5E65" w:rsidRDefault="007B5E65" w:rsidP="007B5E65">
      <w:pPr>
        <w:pStyle w:val="ListParagraph"/>
        <w:numPr>
          <w:ilvl w:val="1"/>
          <w:numId w:val="10"/>
        </w:numPr>
        <w:rPr>
          <w:rFonts w:eastAsiaTheme="minorHAnsi"/>
        </w:rPr>
      </w:pPr>
      <w:r w:rsidRPr="007B5E65">
        <w:rPr>
          <w:rFonts w:eastAsiaTheme="minorHAnsi"/>
          <w:b/>
        </w:rPr>
        <w:t>Question</w:t>
      </w:r>
      <w:r w:rsidRPr="007B5E65">
        <w:rPr>
          <w:rFonts w:eastAsiaTheme="minorHAnsi"/>
        </w:rPr>
        <w:t>: Will we capture Advanced Placement and International Baccalaureate classes in the dual enrollment number?</w:t>
      </w:r>
    </w:p>
    <w:p w:rsidR="007B5E65" w:rsidRPr="007B5E65" w:rsidRDefault="00913FDF" w:rsidP="007B5E65">
      <w:pPr>
        <w:pStyle w:val="ListParagraph"/>
        <w:numPr>
          <w:ilvl w:val="2"/>
          <w:numId w:val="10"/>
        </w:numPr>
        <w:rPr>
          <w:rFonts w:eastAsiaTheme="minorHAnsi"/>
        </w:rPr>
      </w:pPr>
      <w:r>
        <w:rPr>
          <w:rFonts w:eastAsiaTheme="minorHAnsi"/>
          <w:u w:val="single"/>
        </w:rPr>
        <w:t>Ms. Schum:</w:t>
      </w:r>
      <w:r w:rsidR="007B5E65" w:rsidRPr="007B5E65">
        <w:rPr>
          <w:rFonts w:eastAsiaTheme="minorHAnsi"/>
        </w:rPr>
        <w:t xml:space="preserve"> We will address this in a later presentation.</w:t>
      </w:r>
    </w:p>
    <w:p w:rsidR="007B5E65" w:rsidRPr="007B5E65" w:rsidRDefault="007B5E65" w:rsidP="007B5E65">
      <w:pPr>
        <w:pStyle w:val="ListParagraph"/>
        <w:numPr>
          <w:ilvl w:val="1"/>
          <w:numId w:val="10"/>
        </w:numPr>
        <w:rPr>
          <w:rFonts w:eastAsiaTheme="minorHAnsi"/>
        </w:rPr>
      </w:pPr>
      <w:r w:rsidRPr="007B5E65">
        <w:rPr>
          <w:rFonts w:eastAsiaTheme="minorHAnsi"/>
          <w:b/>
        </w:rPr>
        <w:t>Comment</w:t>
      </w:r>
      <w:r w:rsidRPr="007B5E65">
        <w:rPr>
          <w:rFonts w:eastAsiaTheme="minorHAnsi"/>
        </w:rPr>
        <w:t>: Might want to have separate English and math columns.</w:t>
      </w:r>
    </w:p>
    <w:p w:rsidR="007B5E65" w:rsidRPr="007B5E65" w:rsidRDefault="007B5E65" w:rsidP="007B5E65">
      <w:pPr>
        <w:pStyle w:val="ListParagraph"/>
        <w:numPr>
          <w:ilvl w:val="1"/>
          <w:numId w:val="10"/>
        </w:numPr>
        <w:rPr>
          <w:rFonts w:eastAsiaTheme="minorHAnsi"/>
        </w:rPr>
      </w:pPr>
      <w:r w:rsidRPr="007B5E65">
        <w:rPr>
          <w:rFonts w:eastAsiaTheme="minorHAnsi"/>
          <w:b/>
        </w:rPr>
        <w:lastRenderedPageBreak/>
        <w:t>Question</w:t>
      </w:r>
      <w:r w:rsidRPr="007B5E65">
        <w:rPr>
          <w:rFonts w:eastAsiaTheme="minorHAnsi"/>
        </w:rPr>
        <w:t>: Why isn’t it feasible to administer WorkKeys to all 11th graders?</w:t>
      </w:r>
    </w:p>
    <w:p w:rsidR="007B5E65" w:rsidRPr="007B5E65" w:rsidRDefault="00913FDF" w:rsidP="007B5E65">
      <w:pPr>
        <w:pStyle w:val="ListParagraph"/>
        <w:numPr>
          <w:ilvl w:val="2"/>
          <w:numId w:val="10"/>
        </w:numPr>
        <w:rPr>
          <w:rFonts w:eastAsiaTheme="minorHAnsi"/>
        </w:rPr>
      </w:pPr>
      <w:r>
        <w:rPr>
          <w:rFonts w:eastAsiaTheme="minorHAnsi"/>
          <w:u w:val="single"/>
        </w:rPr>
        <w:t>Ms. Schum</w:t>
      </w:r>
      <w:r w:rsidR="007B5E65" w:rsidRPr="007B5E65">
        <w:rPr>
          <w:rFonts w:eastAsiaTheme="minorHAnsi"/>
        </w:rPr>
        <w:t xml:space="preserve">: Currently not able to get WorkKeys data disaggregated by school or district. </w:t>
      </w:r>
    </w:p>
    <w:p w:rsidR="007B5E65" w:rsidRPr="00231FA3" w:rsidRDefault="00913FDF" w:rsidP="007B5E65">
      <w:pPr>
        <w:numPr>
          <w:ilvl w:val="0"/>
          <w:numId w:val="12"/>
        </w:numPr>
        <w:contextualSpacing/>
        <w:rPr>
          <w:rFonts w:eastAsiaTheme="minorHAnsi"/>
        </w:rPr>
      </w:pPr>
      <w:r>
        <w:rPr>
          <w:rFonts w:eastAsiaTheme="minorHAnsi"/>
        </w:rPr>
        <w:t>Ms. Schum</w:t>
      </w:r>
      <w:r w:rsidR="007B5E65" w:rsidRPr="00231FA3">
        <w:rPr>
          <w:rFonts w:eastAsiaTheme="minorHAnsi"/>
        </w:rPr>
        <w:t xml:space="preserve"> mentioned that we </w:t>
      </w:r>
      <w:r w:rsidR="007B5E65">
        <w:rPr>
          <w:rFonts w:eastAsiaTheme="minorHAnsi"/>
        </w:rPr>
        <w:t xml:space="preserve">will use the </w:t>
      </w:r>
      <w:r w:rsidR="007B5E65" w:rsidRPr="007B5E65">
        <w:rPr>
          <w:rFonts w:eastAsiaTheme="minorHAnsi"/>
          <w:b/>
        </w:rPr>
        <w:t>National Clearinghouse data</w:t>
      </w:r>
      <w:r w:rsidR="007B5E65" w:rsidRPr="00231FA3">
        <w:rPr>
          <w:rFonts w:eastAsiaTheme="minorHAnsi"/>
        </w:rPr>
        <w:t xml:space="preserve"> to be used to include post-secondary enrollment anywhere in the U.S.</w:t>
      </w:r>
    </w:p>
    <w:p w:rsidR="007B5E65" w:rsidRPr="007B5E65" w:rsidRDefault="007B5E65" w:rsidP="007B5E65">
      <w:pPr>
        <w:pStyle w:val="ListParagraph"/>
        <w:numPr>
          <w:ilvl w:val="1"/>
          <w:numId w:val="12"/>
        </w:numPr>
        <w:rPr>
          <w:rFonts w:eastAsiaTheme="minorHAnsi"/>
        </w:rPr>
      </w:pPr>
      <w:r w:rsidRPr="007B5E65">
        <w:rPr>
          <w:rFonts w:eastAsiaTheme="minorHAnsi"/>
          <w:u w:val="single"/>
        </w:rPr>
        <w:t>Point</w:t>
      </w:r>
      <w:r w:rsidRPr="007B5E65">
        <w:rPr>
          <w:rFonts w:eastAsiaTheme="minorHAnsi"/>
        </w:rPr>
        <w:t xml:space="preserve">: Laura Boudreaux (LDOE) clarified that </w:t>
      </w:r>
      <w:r w:rsidRPr="007B5E65">
        <w:rPr>
          <w:rFonts w:eastAsiaTheme="minorHAnsi"/>
          <w:b/>
        </w:rPr>
        <w:t>First-Time Freshmen</w:t>
      </w:r>
      <w:r w:rsidRPr="007B5E65">
        <w:rPr>
          <w:rFonts w:eastAsiaTheme="minorHAnsi"/>
        </w:rPr>
        <w:t xml:space="preserve"> numbers will only include those attending 4-year colleges.</w:t>
      </w:r>
    </w:p>
    <w:p w:rsidR="00231FA3" w:rsidRPr="00231FA3" w:rsidRDefault="00231FA3" w:rsidP="001C1675">
      <w:pPr>
        <w:numPr>
          <w:ilvl w:val="0"/>
          <w:numId w:val="12"/>
        </w:numPr>
        <w:contextualSpacing/>
        <w:rPr>
          <w:rFonts w:eastAsiaTheme="minorHAnsi"/>
        </w:rPr>
      </w:pPr>
      <w:r w:rsidRPr="00231FA3">
        <w:rPr>
          <w:rFonts w:eastAsiaTheme="minorHAnsi"/>
        </w:rPr>
        <w:t xml:space="preserve">In response to </w:t>
      </w:r>
      <w:r w:rsidR="007F01CD">
        <w:rPr>
          <w:rFonts w:eastAsiaTheme="minorHAnsi"/>
        </w:rPr>
        <w:t xml:space="preserve">a </w:t>
      </w:r>
      <w:r w:rsidRPr="00231FA3">
        <w:rPr>
          <w:rFonts w:eastAsiaTheme="minorHAnsi"/>
        </w:rPr>
        <w:t xml:space="preserve">question, </w:t>
      </w:r>
      <w:r w:rsidR="00913FDF">
        <w:rPr>
          <w:rFonts w:eastAsiaTheme="minorHAnsi"/>
        </w:rPr>
        <w:t xml:space="preserve">Ms. Schum </w:t>
      </w:r>
      <w:r w:rsidRPr="00231FA3">
        <w:rPr>
          <w:rFonts w:eastAsiaTheme="minorHAnsi"/>
        </w:rPr>
        <w:t xml:space="preserve">invited suggestions as to whether the report will </w:t>
      </w:r>
      <w:r w:rsidRPr="007B5E65">
        <w:rPr>
          <w:rFonts w:eastAsiaTheme="minorHAnsi"/>
          <w:b/>
        </w:rPr>
        <w:t xml:space="preserve">count </w:t>
      </w:r>
      <w:r w:rsidRPr="007B5E65">
        <w:rPr>
          <w:rFonts w:eastAsiaTheme="minorHAnsi"/>
          <w:b/>
          <w:i/>
        </w:rPr>
        <w:t>part-time</w:t>
      </w:r>
      <w:r w:rsidRPr="007B5E65">
        <w:rPr>
          <w:rFonts w:eastAsiaTheme="minorHAnsi"/>
          <w:b/>
        </w:rPr>
        <w:t xml:space="preserve"> technical school enrollments or just full-time</w:t>
      </w:r>
      <w:r w:rsidRPr="00231FA3">
        <w:rPr>
          <w:rFonts w:eastAsiaTheme="minorHAnsi"/>
        </w:rPr>
        <w:t>. This is of interest to</w:t>
      </w:r>
      <w:r w:rsidR="00042944">
        <w:rPr>
          <w:rFonts w:eastAsiaTheme="minorHAnsi"/>
        </w:rPr>
        <w:t xml:space="preserve"> the</w:t>
      </w:r>
      <w:r w:rsidRPr="00231FA3">
        <w:rPr>
          <w:rFonts w:eastAsiaTheme="minorHAnsi"/>
        </w:rPr>
        <w:t xml:space="preserve"> Office of Juvenile Justice.</w:t>
      </w:r>
    </w:p>
    <w:p w:rsidR="00231FA3" w:rsidRPr="00231FA3" w:rsidRDefault="00231FA3" w:rsidP="001C1675">
      <w:pPr>
        <w:numPr>
          <w:ilvl w:val="1"/>
          <w:numId w:val="12"/>
        </w:numPr>
        <w:contextualSpacing/>
        <w:rPr>
          <w:rFonts w:eastAsiaTheme="minorHAnsi"/>
        </w:rPr>
      </w:pPr>
      <w:r w:rsidRPr="009A2354">
        <w:rPr>
          <w:rFonts w:eastAsiaTheme="minorHAnsi"/>
          <w:b/>
        </w:rPr>
        <w:t>Comment</w:t>
      </w:r>
      <w:r w:rsidRPr="00231FA3">
        <w:rPr>
          <w:rFonts w:eastAsiaTheme="minorHAnsi"/>
        </w:rPr>
        <w:t>: Some concern about the increasing challenges of coding, which drives these numbers.</w:t>
      </w:r>
    </w:p>
    <w:p w:rsidR="00231FA3" w:rsidRDefault="00913FDF" w:rsidP="001C1675">
      <w:pPr>
        <w:numPr>
          <w:ilvl w:val="0"/>
          <w:numId w:val="12"/>
        </w:numPr>
        <w:contextualSpacing/>
        <w:rPr>
          <w:rFonts w:eastAsiaTheme="minorHAnsi"/>
        </w:rPr>
      </w:pPr>
      <w:r w:rsidRPr="00913FDF">
        <w:rPr>
          <w:rFonts w:eastAsiaTheme="minorHAnsi"/>
        </w:rPr>
        <w:t>Ms. Schum</w:t>
      </w:r>
      <w:r>
        <w:rPr>
          <w:rFonts w:eastAsiaTheme="minorHAnsi"/>
        </w:rPr>
        <w:t xml:space="preserve"> state that w</w:t>
      </w:r>
      <w:r w:rsidR="00042944">
        <w:rPr>
          <w:rFonts w:eastAsiaTheme="minorHAnsi"/>
        </w:rPr>
        <w:t>e are t</w:t>
      </w:r>
      <w:r w:rsidR="00231FA3" w:rsidRPr="00231FA3">
        <w:rPr>
          <w:rFonts w:eastAsiaTheme="minorHAnsi"/>
        </w:rPr>
        <w:t xml:space="preserve">rying to give a draft using what data we have by end of this school year, hoping for it to be </w:t>
      </w:r>
      <w:r w:rsidR="00042944">
        <w:rPr>
          <w:rFonts w:eastAsiaTheme="minorHAnsi"/>
        </w:rPr>
        <w:t>live</w:t>
      </w:r>
      <w:r w:rsidR="00231FA3" w:rsidRPr="00231FA3">
        <w:rPr>
          <w:rFonts w:eastAsiaTheme="minorHAnsi"/>
        </w:rPr>
        <w:t xml:space="preserve"> by January 2013.</w:t>
      </w:r>
    </w:p>
    <w:p w:rsidR="00913FDF" w:rsidRDefault="00913FDF" w:rsidP="001C1675">
      <w:pPr>
        <w:numPr>
          <w:ilvl w:val="0"/>
          <w:numId w:val="12"/>
        </w:numPr>
        <w:contextualSpacing/>
        <w:rPr>
          <w:rFonts w:eastAsiaTheme="minorHAnsi"/>
        </w:rPr>
      </w:pPr>
      <w:r w:rsidRPr="00913FDF">
        <w:rPr>
          <w:rFonts w:eastAsiaTheme="minorHAnsi"/>
          <w:b/>
        </w:rPr>
        <w:t>Suggestion</w:t>
      </w:r>
      <w:r w:rsidRPr="00231FA3">
        <w:rPr>
          <w:rFonts w:eastAsiaTheme="minorHAnsi"/>
        </w:rPr>
        <w:t xml:space="preserve">: Districts/schools would probably be interested in breakdowns of </w:t>
      </w:r>
      <w:r>
        <w:rPr>
          <w:rFonts w:eastAsiaTheme="minorHAnsi"/>
        </w:rPr>
        <w:t>the D</w:t>
      </w:r>
      <w:r w:rsidRPr="00231FA3">
        <w:rPr>
          <w:rFonts w:eastAsiaTheme="minorHAnsi"/>
        </w:rPr>
        <w:t xml:space="preserve">iploma </w:t>
      </w:r>
      <w:r>
        <w:rPr>
          <w:rFonts w:eastAsiaTheme="minorHAnsi"/>
        </w:rPr>
        <w:t xml:space="preserve">Pathways – LA </w:t>
      </w:r>
      <w:r w:rsidRPr="00231FA3">
        <w:rPr>
          <w:rFonts w:eastAsiaTheme="minorHAnsi"/>
        </w:rPr>
        <w:t>Co</w:t>
      </w:r>
      <w:r>
        <w:rPr>
          <w:rFonts w:eastAsiaTheme="minorHAnsi"/>
        </w:rPr>
        <w:t>re, Core 4, and</w:t>
      </w:r>
      <w:r w:rsidRPr="00231FA3">
        <w:rPr>
          <w:rFonts w:eastAsiaTheme="minorHAnsi"/>
        </w:rPr>
        <w:t xml:space="preserve"> Career</w:t>
      </w:r>
    </w:p>
    <w:p w:rsidR="00913FDF" w:rsidRPr="00913FDF" w:rsidRDefault="00913FDF" w:rsidP="00913FDF">
      <w:pPr>
        <w:pStyle w:val="ListParagraph"/>
        <w:numPr>
          <w:ilvl w:val="0"/>
          <w:numId w:val="12"/>
        </w:numPr>
        <w:rPr>
          <w:rFonts w:eastAsiaTheme="minorHAnsi"/>
        </w:rPr>
      </w:pPr>
      <w:r w:rsidRPr="00913FDF">
        <w:rPr>
          <w:rFonts w:eastAsiaTheme="minorHAnsi"/>
        </w:rPr>
        <w:t>Ms. Schum said we are trying hard to have a partial one (some indicators not completed) by January 2012, but are not sure if staff would have it ready in the format presented.</w:t>
      </w:r>
      <w:r>
        <w:rPr>
          <w:rFonts w:eastAsiaTheme="minorHAnsi"/>
        </w:rPr>
        <w:t xml:space="preserve"> I</w:t>
      </w:r>
      <w:r w:rsidRPr="00913FDF">
        <w:rPr>
          <w:rFonts w:eastAsiaTheme="minorHAnsi"/>
        </w:rPr>
        <w:t>f we get a report produced in January, we think it will help capture information like students who had to wait till after graduating to take an IBC exam (because of age requirements).</w:t>
      </w:r>
    </w:p>
    <w:p w:rsidR="00913FDF" w:rsidRPr="00913FDF" w:rsidRDefault="00913FDF" w:rsidP="00913FDF">
      <w:pPr>
        <w:pStyle w:val="ListParagraph"/>
        <w:numPr>
          <w:ilvl w:val="0"/>
          <w:numId w:val="12"/>
        </w:numPr>
        <w:rPr>
          <w:rFonts w:eastAsiaTheme="minorHAnsi"/>
        </w:rPr>
      </w:pPr>
      <w:r w:rsidRPr="00913FDF">
        <w:rPr>
          <w:rFonts w:eastAsiaTheme="minorHAnsi"/>
        </w:rPr>
        <w:t xml:space="preserve">Laura Boudreaux explained the rules around the </w:t>
      </w:r>
      <w:r w:rsidRPr="00913FDF">
        <w:rPr>
          <w:rFonts w:eastAsiaTheme="minorHAnsi"/>
          <w:b/>
        </w:rPr>
        <w:t>ACT</w:t>
      </w:r>
      <w:r w:rsidRPr="00913FDF">
        <w:rPr>
          <w:rFonts w:eastAsiaTheme="minorHAnsi"/>
        </w:rPr>
        <w:t xml:space="preserve"> student data. ACT’s data on student participation data are dubious.</w:t>
      </w:r>
    </w:p>
    <w:p w:rsidR="00231FA3" w:rsidRDefault="00231FA3" w:rsidP="00FA12A9">
      <w:pPr>
        <w:pStyle w:val="ListParagraph"/>
        <w:numPr>
          <w:ilvl w:val="1"/>
          <w:numId w:val="12"/>
        </w:numPr>
        <w:rPr>
          <w:rFonts w:eastAsiaTheme="minorHAnsi"/>
        </w:rPr>
      </w:pPr>
      <w:r w:rsidRPr="009A2354">
        <w:rPr>
          <w:rFonts w:eastAsiaTheme="minorHAnsi"/>
          <w:b/>
        </w:rPr>
        <w:t>Comment:</w:t>
      </w:r>
      <w:r w:rsidRPr="00FA12A9">
        <w:rPr>
          <w:rFonts w:eastAsiaTheme="minorHAnsi"/>
        </w:rPr>
        <w:t xml:space="preserve"> It’s problematic to give ACT to so many students in our state. The scores tend to be lower than if this group were less inclusive.</w:t>
      </w:r>
    </w:p>
    <w:p w:rsidR="00FA12A9" w:rsidRPr="00231FA3" w:rsidRDefault="00FA12A9" w:rsidP="00FA12A9">
      <w:pPr>
        <w:numPr>
          <w:ilvl w:val="1"/>
          <w:numId w:val="12"/>
        </w:numPr>
        <w:contextualSpacing/>
        <w:rPr>
          <w:rFonts w:eastAsiaTheme="minorHAnsi"/>
        </w:rPr>
      </w:pPr>
      <w:r w:rsidRPr="009A2354">
        <w:rPr>
          <w:rFonts w:eastAsiaTheme="minorHAnsi"/>
          <w:b/>
        </w:rPr>
        <w:t>Ms. Schum</w:t>
      </w:r>
      <w:r w:rsidRPr="00231FA3">
        <w:rPr>
          <w:rFonts w:eastAsiaTheme="minorHAnsi"/>
        </w:rPr>
        <w:t>: Still looking at having as many</w:t>
      </w:r>
      <w:r>
        <w:rPr>
          <w:rFonts w:eastAsiaTheme="minorHAnsi"/>
        </w:rPr>
        <w:t xml:space="preserve"> students as possible take ACT and</w:t>
      </w:r>
      <w:r w:rsidRPr="00231FA3">
        <w:rPr>
          <w:rFonts w:eastAsiaTheme="minorHAnsi"/>
        </w:rPr>
        <w:t xml:space="preserve"> Work Keys </w:t>
      </w:r>
      <w:r>
        <w:rPr>
          <w:rFonts w:eastAsiaTheme="minorHAnsi"/>
        </w:rPr>
        <w:t xml:space="preserve">or </w:t>
      </w:r>
      <w:r w:rsidRPr="00231FA3">
        <w:rPr>
          <w:rFonts w:eastAsiaTheme="minorHAnsi"/>
        </w:rPr>
        <w:t xml:space="preserve">at least offering it. </w:t>
      </w:r>
    </w:p>
    <w:p w:rsidR="001B56AD" w:rsidRDefault="00231FA3" w:rsidP="00FA12A9">
      <w:pPr>
        <w:numPr>
          <w:ilvl w:val="1"/>
          <w:numId w:val="16"/>
        </w:numPr>
        <w:ind w:left="1080"/>
        <w:contextualSpacing/>
        <w:rPr>
          <w:rFonts w:eastAsiaTheme="minorHAnsi"/>
        </w:rPr>
      </w:pPr>
      <w:r w:rsidRPr="009A2354">
        <w:rPr>
          <w:rFonts w:eastAsiaTheme="minorHAnsi"/>
          <w:b/>
        </w:rPr>
        <w:t>Comment</w:t>
      </w:r>
      <w:r w:rsidRPr="00231FA3">
        <w:rPr>
          <w:rFonts w:eastAsiaTheme="minorHAnsi"/>
        </w:rPr>
        <w:t>: What can we do</w:t>
      </w:r>
      <w:r w:rsidR="001B56AD">
        <w:rPr>
          <w:rFonts w:eastAsiaTheme="minorHAnsi"/>
        </w:rPr>
        <w:t xml:space="preserve"> to ensure the Areas of Concentration (AOCs) </w:t>
      </w:r>
      <w:r w:rsidRPr="00231FA3">
        <w:rPr>
          <w:rFonts w:eastAsiaTheme="minorHAnsi"/>
        </w:rPr>
        <w:t xml:space="preserve">being </w:t>
      </w:r>
      <w:r w:rsidR="001B56AD">
        <w:rPr>
          <w:rFonts w:eastAsiaTheme="minorHAnsi"/>
        </w:rPr>
        <w:t xml:space="preserve">obtained </w:t>
      </w:r>
      <w:r w:rsidRPr="00231FA3">
        <w:rPr>
          <w:rFonts w:eastAsiaTheme="minorHAnsi"/>
        </w:rPr>
        <w:t xml:space="preserve">or what workforce needs? Namely, </w:t>
      </w:r>
      <w:r w:rsidR="001B56AD">
        <w:rPr>
          <w:rFonts w:eastAsiaTheme="minorHAnsi"/>
        </w:rPr>
        <w:t>the LDOE needs to help districts offer AOCs that their regions actually need.</w:t>
      </w:r>
    </w:p>
    <w:p w:rsidR="00231FA3" w:rsidRPr="00231FA3" w:rsidRDefault="002E73E0" w:rsidP="00FA12A9">
      <w:pPr>
        <w:numPr>
          <w:ilvl w:val="2"/>
          <w:numId w:val="16"/>
        </w:numPr>
        <w:tabs>
          <w:tab w:val="left" w:pos="1800"/>
        </w:tabs>
        <w:ind w:hanging="720"/>
        <w:contextualSpacing/>
        <w:rPr>
          <w:rFonts w:eastAsiaTheme="minorHAnsi"/>
        </w:rPr>
      </w:pPr>
      <w:r>
        <w:rPr>
          <w:rFonts w:eastAsiaTheme="minorHAnsi"/>
        </w:rPr>
        <w:t xml:space="preserve">A commissioner </w:t>
      </w:r>
      <w:r w:rsidR="00231FA3" w:rsidRPr="00231FA3">
        <w:rPr>
          <w:rFonts w:eastAsiaTheme="minorHAnsi"/>
        </w:rPr>
        <w:t>mentioned</w:t>
      </w:r>
      <w:r>
        <w:rPr>
          <w:rFonts w:eastAsiaTheme="minorHAnsi"/>
        </w:rPr>
        <w:t xml:space="preserve"> the</w:t>
      </w:r>
      <w:r w:rsidR="00231FA3" w:rsidRPr="00231FA3">
        <w:rPr>
          <w:rFonts w:eastAsiaTheme="minorHAnsi"/>
        </w:rPr>
        <w:t xml:space="preserve"> LA Workforce Commission’s occupational forecast.</w:t>
      </w:r>
    </w:p>
    <w:p w:rsidR="003B57B6" w:rsidRDefault="003B57B6" w:rsidP="001C1675">
      <w:pPr>
        <w:rPr>
          <w:rFonts w:eastAsiaTheme="minorHAnsi"/>
        </w:rPr>
      </w:pPr>
    </w:p>
    <w:p w:rsidR="00231FA3" w:rsidRPr="00726037" w:rsidRDefault="00231FA3" w:rsidP="001C1675">
      <w:pPr>
        <w:rPr>
          <w:rFonts w:eastAsiaTheme="minorHAnsi"/>
          <w:b/>
        </w:rPr>
      </w:pPr>
      <w:r w:rsidRPr="00726037">
        <w:rPr>
          <w:rFonts w:eastAsiaTheme="minorHAnsi"/>
          <w:b/>
        </w:rPr>
        <w:t>BREAK</w:t>
      </w:r>
    </w:p>
    <w:p w:rsidR="003B57B6" w:rsidRPr="001B56AD" w:rsidRDefault="003B57B6" w:rsidP="001C1675">
      <w:pPr>
        <w:rPr>
          <w:rFonts w:eastAsiaTheme="minorHAnsi"/>
        </w:rPr>
      </w:pPr>
    </w:p>
    <w:p w:rsidR="00FA12A9" w:rsidRDefault="00FA12A9" w:rsidP="00FA12A9">
      <w:pPr>
        <w:contextualSpacing/>
        <w:rPr>
          <w:rFonts w:eastAsiaTheme="minorHAnsi"/>
        </w:rPr>
      </w:pPr>
      <w:r w:rsidRPr="00FA12A9">
        <w:rPr>
          <w:rFonts w:eastAsiaTheme="minorHAnsi"/>
          <w:b/>
        </w:rPr>
        <w:t>CCR Report Card (Cont</w:t>
      </w:r>
      <w:r>
        <w:rPr>
          <w:rFonts w:eastAsiaTheme="minorHAnsi"/>
          <w:b/>
        </w:rPr>
        <w:t>inued</w:t>
      </w:r>
      <w:r w:rsidRPr="00FA12A9">
        <w:rPr>
          <w:rFonts w:eastAsiaTheme="minorHAnsi"/>
          <w:b/>
        </w:rPr>
        <w:t>)</w:t>
      </w:r>
    </w:p>
    <w:p w:rsidR="00231FA3" w:rsidRPr="003B57B6" w:rsidRDefault="00231FA3" w:rsidP="009A2354">
      <w:pPr>
        <w:ind w:firstLine="720"/>
        <w:contextualSpacing/>
        <w:rPr>
          <w:rFonts w:eastAsiaTheme="minorHAnsi"/>
        </w:rPr>
      </w:pPr>
      <w:r w:rsidRPr="003B57B6">
        <w:rPr>
          <w:rFonts w:eastAsiaTheme="minorHAnsi"/>
        </w:rPr>
        <w:t xml:space="preserve">Ms. </w:t>
      </w:r>
      <w:r w:rsidRPr="008247AB">
        <w:rPr>
          <w:rFonts w:eastAsiaTheme="minorHAnsi"/>
        </w:rPr>
        <w:t>Johnson</w:t>
      </w:r>
      <w:r w:rsidR="003B57B6" w:rsidRPr="008247AB">
        <w:rPr>
          <w:rFonts w:eastAsiaTheme="minorHAnsi"/>
        </w:rPr>
        <w:t xml:space="preserve"> i</w:t>
      </w:r>
      <w:r w:rsidRPr="008247AB">
        <w:rPr>
          <w:rFonts w:eastAsiaTheme="minorHAnsi"/>
        </w:rPr>
        <w:t>nvited</w:t>
      </w:r>
      <w:r w:rsidRPr="003B57B6">
        <w:rPr>
          <w:rFonts w:eastAsiaTheme="minorHAnsi"/>
        </w:rPr>
        <w:t xml:space="preserve"> voting </w:t>
      </w:r>
      <w:r w:rsidR="009A5256" w:rsidRPr="003B57B6">
        <w:rPr>
          <w:rFonts w:eastAsiaTheme="minorHAnsi"/>
        </w:rPr>
        <w:t xml:space="preserve">to recommend the </w:t>
      </w:r>
      <w:r w:rsidRPr="003B57B6">
        <w:rPr>
          <w:rFonts w:eastAsiaTheme="minorHAnsi"/>
        </w:rPr>
        <w:t>CCR Report Card</w:t>
      </w:r>
      <w:r w:rsidR="009A5256" w:rsidRPr="003B57B6">
        <w:rPr>
          <w:rFonts w:eastAsiaTheme="minorHAnsi"/>
        </w:rPr>
        <w:t xml:space="preserve"> to BESE</w:t>
      </w:r>
      <w:r w:rsidRPr="003B57B6">
        <w:rPr>
          <w:rFonts w:eastAsiaTheme="minorHAnsi"/>
        </w:rPr>
        <w:t>.</w:t>
      </w:r>
    </w:p>
    <w:p w:rsidR="00231FA3" w:rsidRPr="003B57B6" w:rsidRDefault="00231FA3" w:rsidP="008E1A8A">
      <w:pPr>
        <w:numPr>
          <w:ilvl w:val="1"/>
          <w:numId w:val="16"/>
        </w:numPr>
        <w:ind w:left="1080"/>
        <w:contextualSpacing/>
        <w:rPr>
          <w:rFonts w:eastAsiaTheme="minorHAnsi"/>
        </w:rPr>
      </w:pPr>
      <w:r w:rsidRPr="003B57B6">
        <w:rPr>
          <w:rFonts w:eastAsiaTheme="minorHAnsi"/>
        </w:rPr>
        <w:t>D</w:t>
      </w:r>
      <w:r w:rsidR="009A5256" w:rsidRPr="003B57B6">
        <w:rPr>
          <w:rFonts w:eastAsiaTheme="minorHAnsi"/>
        </w:rPr>
        <w:t>avid</w:t>
      </w:r>
      <w:r w:rsidRPr="003B57B6">
        <w:rPr>
          <w:rFonts w:eastAsiaTheme="minorHAnsi"/>
        </w:rPr>
        <w:t xml:space="preserve"> Clayton recommended that BESE approve</w:t>
      </w:r>
      <w:r w:rsidR="009A5256" w:rsidRPr="003B57B6">
        <w:rPr>
          <w:rFonts w:eastAsiaTheme="minorHAnsi"/>
        </w:rPr>
        <w:t>, with the</w:t>
      </w:r>
      <w:r w:rsidRPr="003B57B6">
        <w:rPr>
          <w:rFonts w:eastAsiaTheme="minorHAnsi"/>
        </w:rPr>
        <w:t xml:space="preserve"> stipulation that</w:t>
      </w:r>
      <w:r w:rsidR="009A5256" w:rsidRPr="003B57B6">
        <w:rPr>
          <w:rFonts w:eastAsiaTheme="minorHAnsi"/>
        </w:rPr>
        <w:t xml:space="preserve"> LDOE</w:t>
      </w:r>
      <w:r w:rsidRPr="003B57B6">
        <w:rPr>
          <w:rFonts w:eastAsiaTheme="minorHAnsi"/>
        </w:rPr>
        <w:t xml:space="preserve"> staff look at making the change</w:t>
      </w:r>
      <w:r w:rsidR="009A5256" w:rsidRPr="003B57B6">
        <w:rPr>
          <w:rFonts w:eastAsiaTheme="minorHAnsi"/>
        </w:rPr>
        <w:t>s</w:t>
      </w:r>
      <w:r w:rsidRPr="003B57B6">
        <w:rPr>
          <w:rFonts w:eastAsiaTheme="minorHAnsi"/>
        </w:rPr>
        <w:t xml:space="preserve"> discussed today.</w:t>
      </w:r>
      <w:r w:rsidR="009A5256" w:rsidRPr="003B57B6">
        <w:rPr>
          <w:rFonts w:eastAsiaTheme="minorHAnsi"/>
        </w:rPr>
        <w:t xml:space="preserve"> There were no objections, and the motion carried.</w:t>
      </w:r>
    </w:p>
    <w:p w:rsidR="003B57B6" w:rsidRDefault="003B57B6" w:rsidP="001C1675">
      <w:pPr>
        <w:contextualSpacing/>
        <w:rPr>
          <w:rFonts w:eastAsiaTheme="minorHAnsi"/>
        </w:rPr>
      </w:pPr>
    </w:p>
    <w:p w:rsidR="00FA12A9" w:rsidRDefault="00FA12A9" w:rsidP="00FA12A9">
      <w:pPr>
        <w:contextualSpacing/>
        <w:rPr>
          <w:rFonts w:eastAsiaTheme="minorHAnsi"/>
        </w:rPr>
      </w:pPr>
      <w:r w:rsidRPr="00FA12A9">
        <w:rPr>
          <w:rFonts w:eastAsiaTheme="minorHAnsi"/>
          <w:b/>
        </w:rPr>
        <w:t>Lisa French, CCR Deputy Director</w:t>
      </w:r>
    </w:p>
    <w:p w:rsidR="00231FA3" w:rsidRPr="009A5256" w:rsidRDefault="00231FA3" w:rsidP="003B57B6">
      <w:pPr>
        <w:ind w:firstLine="720"/>
        <w:contextualSpacing/>
        <w:rPr>
          <w:rFonts w:eastAsiaTheme="minorHAnsi"/>
        </w:rPr>
      </w:pPr>
      <w:r w:rsidRPr="009A5256">
        <w:rPr>
          <w:rFonts w:eastAsiaTheme="minorHAnsi"/>
        </w:rPr>
        <w:t xml:space="preserve">Debbie </w:t>
      </w:r>
      <w:r w:rsidR="003B57B6">
        <w:rPr>
          <w:rFonts w:eastAsiaTheme="minorHAnsi"/>
        </w:rPr>
        <w:t xml:space="preserve">Schum </w:t>
      </w:r>
      <w:r w:rsidRPr="009A5256">
        <w:rPr>
          <w:rFonts w:eastAsiaTheme="minorHAnsi"/>
        </w:rPr>
        <w:t xml:space="preserve">introduced Lisa French, new CCR Deputy Director, whose focus is on </w:t>
      </w:r>
      <w:r w:rsidR="009A5256" w:rsidRPr="009A5256">
        <w:rPr>
          <w:rFonts w:eastAsiaTheme="minorHAnsi"/>
        </w:rPr>
        <w:t xml:space="preserve">the </w:t>
      </w:r>
      <w:r w:rsidRPr="009A5256">
        <w:rPr>
          <w:rFonts w:eastAsiaTheme="minorHAnsi"/>
        </w:rPr>
        <w:t xml:space="preserve">post-secondary </w:t>
      </w:r>
      <w:r w:rsidR="009A5256" w:rsidRPr="009A5256">
        <w:rPr>
          <w:rFonts w:eastAsiaTheme="minorHAnsi"/>
        </w:rPr>
        <w:t xml:space="preserve">enrollment/completion </w:t>
      </w:r>
      <w:r w:rsidRPr="009A5256">
        <w:rPr>
          <w:rFonts w:eastAsiaTheme="minorHAnsi"/>
        </w:rPr>
        <w:t>goal</w:t>
      </w:r>
      <w:r w:rsidR="009A5256" w:rsidRPr="009A5256">
        <w:rPr>
          <w:rFonts w:eastAsiaTheme="minorHAnsi"/>
        </w:rPr>
        <w:t>s</w:t>
      </w:r>
      <w:r w:rsidRPr="009A5256">
        <w:rPr>
          <w:rFonts w:eastAsiaTheme="minorHAnsi"/>
        </w:rPr>
        <w:t>.</w:t>
      </w:r>
    </w:p>
    <w:p w:rsidR="003B57B6" w:rsidRDefault="003B57B6" w:rsidP="001C1675">
      <w:pPr>
        <w:contextualSpacing/>
        <w:rPr>
          <w:rFonts w:eastAsiaTheme="minorHAnsi"/>
        </w:rPr>
      </w:pPr>
    </w:p>
    <w:p w:rsidR="00FA12A9" w:rsidRDefault="00FA12A9" w:rsidP="00FA12A9">
      <w:pPr>
        <w:contextualSpacing/>
        <w:rPr>
          <w:rFonts w:eastAsiaTheme="minorHAnsi"/>
        </w:rPr>
      </w:pPr>
      <w:r w:rsidRPr="00FA12A9">
        <w:rPr>
          <w:rFonts w:eastAsiaTheme="minorHAnsi"/>
          <w:b/>
        </w:rPr>
        <w:t>Over-Age Status</w:t>
      </w:r>
    </w:p>
    <w:p w:rsidR="00231FA3" w:rsidRPr="00231FA3" w:rsidRDefault="009A5256" w:rsidP="003B57B6">
      <w:pPr>
        <w:ind w:firstLine="720"/>
        <w:contextualSpacing/>
        <w:rPr>
          <w:rFonts w:eastAsiaTheme="minorHAnsi"/>
        </w:rPr>
      </w:pPr>
      <w:r>
        <w:rPr>
          <w:rFonts w:eastAsiaTheme="minorHAnsi"/>
        </w:rPr>
        <w:t xml:space="preserve">Debbie </w:t>
      </w:r>
      <w:r w:rsidR="003B57B6">
        <w:rPr>
          <w:rFonts w:eastAsiaTheme="minorHAnsi"/>
        </w:rPr>
        <w:t xml:space="preserve">Schum </w:t>
      </w:r>
      <w:r>
        <w:rPr>
          <w:rFonts w:eastAsiaTheme="minorHAnsi"/>
        </w:rPr>
        <w:t>reported on o</w:t>
      </w:r>
      <w:r w:rsidR="00231FA3" w:rsidRPr="00231FA3">
        <w:rPr>
          <w:rFonts w:eastAsiaTheme="minorHAnsi"/>
        </w:rPr>
        <w:t>ver</w:t>
      </w:r>
      <w:r>
        <w:rPr>
          <w:rFonts w:eastAsiaTheme="minorHAnsi"/>
        </w:rPr>
        <w:t>-</w:t>
      </w:r>
      <w:r w:rsidR="00231FA3" w:rsidRPr="00231FA3">
        <w:rPr>
          <w:rFonts w:eastAsiaTheme="minorHAnsi"/>
        </w:rPr>
        <w:t xml:space="preserve">age status again, also </w:t>
      </w:r>
      <w:r>
        <w:rPr>
          <w:rFonts w:eastAsiaTheme="minorHAnsi"/>
        </w:rPr>
        <w:t xml:space="preserve">looking at data </w:t>
      </w:r>
      <w:r w:rsidR="00231FA3" w:rsidRPr="00231FA3">
        <w:rPr>
          <w:rFonts w:eastAsiaTheme="minorHAnsi"/>
        </w:rPr>
        <w:t>going back into grades 5 – 8.</w:t>
      </w:r>
    </w:p>
    <w:p w:rsidR="00231FA3" w:rsidRPr="00231FA3" w:rsidRDefault="00231FA3" w:rsidP="008E1A8A">
      <w:pPr>
        <w:numPr>
          <w:ilvl w:val="1"/>
          <w:numId w:val="16"/>
        </w:numPr>
        <w:ind w:left="1080"/>
        <w:contextualSpacing/>
        <w:rPr>
          <w:rFonts w:eastAsiaTheme="minorHAnsi"/>
        </w:rPr>
      </w:pPr>
      <w:r w:rsidRPr="00FA12A9">
        <w:rPr>
          <w:rFonts w:eastAsiaTheme="minorHAnsi"/>
          <w:b/>
        </w:rPr>
        <w:t>Question</w:t>
      </w:r>
      <w:r w:rsidRPr="00231FA3">
        <w:rPr>
          <w:rFonts w:eastAsiaTheme="minorHAnsi"/>
        </w:rPr>
        <w:t>: How many of the</w:t>
      </w:r>
      <w:r w:rsidR="009A5256">
        <w:rPr>
          <w:rFonts w:eastAsiaTheme="minorHAnsi"/>
        </w:rPr>
        <w:t>se students</w:t>
      </w:r>
      <w:r w:rsidRPr="00231FA3">
        <w:rPr>
          <w:rFonts w:eastAsiaTheme="minorHAnsi"/>
        </w:rPr>
        <w:t xml:space="preserve"> in 7</w:t>
      </w:r>
      <w:r w:rsidRPr="00231FA3">
        <w:rPr>
          <w:rFonts w:eastAsiaTheme="minorHAnsi"/>
          <w:vertAlign w:val="superscript"/>
        </w:rPr>
        <w:t>th</w:t>
      </w:r>
      <w:r w:rsidRPr="00231FA3">
        <w:rPr>
          <w:rFonts w:eastAsiaTheme="minorHAnsi"/>
        </w:rPr>
        <w:t xml:space="preserve"> and 8</w:t>
      </w:r>
      <w:r w:rsidRPr="00231FA3">
        <w:rPr>
          <w:rFonts w:eastAsiaTheme="minorHAnsi"/>
          <w:vertAlign w:val="superscript"/>
        </w:rPr>
        <w:t>th</w:t>
      </w:r>
      <w:r w:rsidRPr="00231FA3">
        <w:rPr>
          <w:rFonts w:eastAsiaTheme="minorHAnsi"/>
        </w:rPr>
        <w:t xml:space="preserve"> grade are in alternative education? </w:t>
      </w:r>
    </w:p>
    <w:p w:rsidR="007B7704" w:rsidRPr="00FA12A9" w:rsidRDefault="00FA12A9" w:rsidP="008E1A8A">
      <w:pPr>
        <w:numPr>
          <w:ilvl w:val="1"/>
          <w:numId w:val="16"/>
        </w:numPr>
        <w:ind w:left="1080"/>
        <w:contextualSpacing/>
        <w:rPr>
          <w:rFonts w:eastAsiaTheme="minorHAnsi"/>
        </w:rPr>
      </w:pPr>
      <w:r w:rsidRPr="00FA12A9">
        <w:rPr>
          <w:rFonts w:eastAsiaTheme="minorHAnsi"/>
          <w:u w:val="single"/>
        </w:rPr>
        <w:t>Ms. Schum</w:t>
      </w:r>
      <w:r w:rsidR="00231FA3" w:rsidRPr="00FA12A9">
        <w:rPr>
          <w:rFonts w:eastAsiaTheme="minorHAnsi"/>
        </w:rPr>
        <w:t xml:space="preserve">: </w:t>
      </w:r>
      <w:r w:rsidRPr="00FA12A9">
        <w:rPr>
          <w:rFonts w:eastAsiaTheme="minorHAnsi"/>
        </w:rPr>
        <w:t xml:space="preserve">We will </w:t>
      </w:r>
      <w:r w:rsidR="00231FA3" w:rsidRPr="00FA12A9">
        <w:rPr>
          <w:rFonts w:eastAsiaTheme="minorHAnsi"/>
        </w:rPr>
        <w:t>g</w:t>
      </w:r>
      <w:r w:rsidRPr="00FA12A9">
        <w:rPr>
          <w:rFonts w:eastAsiaTheme="minorHAnsi"/>
        </w:rPr>
        <w:t xml:space="preserve">et those numbers and </w:t>
      </w:r>
      <w:r w:rsidR="00231FA3" w:rsidRPr="00FA12A9">
        <w:rPr>
          <w:rFonts w:eastAsiaTheme="minorHAnsi"/>
        </w:rPr>
        <w:t>see if we can</w:t>
      </w:r>
      <w:r w:rsidR="009A5256" w:rsidRPr="00FA12A9">
        <w:rPr>
          <w:rFonts w:eastAsiaTheme="minorHAnsi"/>
        </w:rPr>
        <w:t xml:space="preserve"> disaggregate</w:t>
      </w:r>
      <w:r w:rsidR="00231FA3" w:rsidRPr="00FA12A9">
        <w:rPr>
          <w:rFonts w:eastAsiaTheme="minorHAnsi"/>
        </w:rPr>
        <w:t xml:space="preserve"> those who are just academically behind</w:t>
      </w:r>
      <w:r w:rsidR="009A5256" w:rsidRPr="00FA12A9">
        <w:rPr>
          <w:rFonts w:eastAsiaTheme="minorHAnsi"/>
        </w:rPr>
        <w:t xml:space="preserve"> (rather than in alternative education)</w:t>
      </w:r>
      <w:r w:rsidR="00231FA3" w:rsidRPr="00FA12A9">
        <w:rPr>
          <w:rFonts w:eastAsiaTheme="minorHAnsi"/>
        </w:rPr>
        <w:t>.</w:t>
      </w:r>
    </w:p>
    <w:p w:rsidR="003B57B6" w:rsidRDefault="003B57B6" w:rsidP="008E1A8A">
      <w:pPr>
        <w:ind w:left="1080" w:hanging="360"/>
        <w:contextualSpacing/>
        <w:rPr>
          <w:rFonts w:eastAsiaTheme="minorHAnsi"/>
        </w:rPr>
      </w:pPr>
    </w:p>
    <w:p w:rsidR="00FA12A9" w:rsidRDefault="00FA12A9" w:rsidP="00FA12A9">
      <w:pPr>
        <w:contextualSpacing/>
        <w:rPr>
          <w:rFonts w:eastAsiaTheme="minorHAnsi"/>
        </w:rPr>
      </w:pPr>
      <w:r w:rsidRPr="00FA12A9">
        <w:rPr>
          <w:rFonts w:eastAsiaTheme="minorHAnsi"/>
          <w:b/>
        </w:rPr>
        <w:t>Strategic Plans - Trajectories</w:t>
      </w:r>
    </w:p>
    <w:p w:rsidR="00231FA3" w:rsidRPr="007B7704" w:rsidRDefault="00231FA3" w:rsidP="003B57B6">
      <w:pPr>
        <w:ind w:firstLine="720"/>
        <w:contextualSpacing/>
        <w:rPr>
          <w:rFonts w:eastAsiaTheme="minorHAnsi"/>
        </w:rPr>
      </w:pPr>
      <w:r w:rsidRPr="007B7704">
        <w:rPr>
          <w:rFonts w:eastAsiaTheme="minorHAnsi"/>
        </w:rPr>
        <w:t xml:space="preserve">Debbie </w:t>
      </w:r>
      <w:r w:rsidR="003B57B6">
        <w:rPr>
          <w:rFonts w:eastAsiaTheme="minorHAnsi"/>
        </w:rPr>
        <w:t xml:space="preserve">Schum </w:t>
      </w:r>
      <w:r w:rsidRPr="007B7704">
        <w:rPr>
          <w:rFonts w:eastAsiaTheme="minorHAnsi"/>
        </w:rPr>
        <w:t>presented trajectories of our strategic plans. We will look at changing what needs to be changed – gave JAG as an example. Emphasized Connections Process as intervention for average students – no grade requirement.</w:t>
      </w:r>
    </w:p>
    <w:p w:rsidR="00231FA3" w:rsidRPr="00231FA3" w:rsidRDefault="00231FA3" w:rsidP="008E1A8A">
      <w:pPr>
        <w:numPr>
          <w:ilvl w:val="1"/>
          <w:numId w:val="17"/>
        </w:numPr>
        <w:ind w:left="1080"/>
        <w:contextualSpacing/>
        <w:rPr>
          <w:rFonts w:eastAsiaTheme="minorHAnsi"/>
        </w:rPr>
      </w:pPr>
      <w:r w:rsidRPr="009A2354">
        <w:rPr>
          <w:rFonts w:eastAsiaTheme="minorHAnsi"/>
          <w:b/>
        </w:rPr>
        <w:lastRenderedPageBreak/>
        <w:t>Comment</w:t>
      </w:r>
      <w:r w:rsidRPr="00231FA3">
        <w:rPr>
          <w:rFonts w:eastAsiaTheme="minorHAnsi"/>
        </w:rPr>
        <w:t xml:space="preserve">: If they’re that average, they need </w:t>
      </w:r>
      <w:r w:rsidR="009A5256">
        <w:rPr>
          <w:rFonts w:eastAsiaTheme="minorHAnsi"/>
        </w:rPr>
        <w:t>opportunities to obtain Carnegie Units and</w:t>
      </w:r>
      <w:r w:rsidRPr="00231FA3">
        <w:rPr>
          <w:rFonts w:eastAsiaTheme="minorHAnsi"/>
        </w:rPr>
        <w:t xml:space="preserve"> take the </w:t>
      </w:r>
      <w:r w:rsidR="009A5256">
        <w:rPr>
          <w:rFonts w:eastAsiaTheme="minorHAnsi"/>
        </w:rPr>
        <w:t xml:space="preserve">End-of-Course tests </w:t>
      </w:r>
      <w:r w:rsidRPr="00231FA3">
        <w:rPr>
          <w:rFonts w:eastAsiaTheme="minorHAnsi"/>
        </w:rPr>
        <w:t xml:space="preserve">in </w:t>
      </w:r>
      <w:r w:rsidRPr="00C7120C">
        <w:rPr>
          <w:rFonts w:eastAsiaTheme="minorHAnsi"/>
          <w:i/>
        </w:rPr>
        <w:t>middle school</w:t>
      </w:r>
      <w:r w:rsidRPr="009A5256">
        <w:rPr>
          <w:rFonts w:eastAsiaTheme="minorHAnsi"/>
        </w:rPr>
        <w:t xml:space="preserve"> </w:t>
      </w:r>
      <w:r w:rsidRPr="00231FA3">
        <w:rPr>
          <w:rFonts w:eastAsiaTheme="minorHAnsi"/>
        </w:rPr>
        <w:t xml:space="preserve">– </w:t>
      </w:r>
      <w:r w:rsidR="009A5256">
        <w:rPr>
          <w:rFonts w:eastAsiaTheme="minorHAnsi"/>
        </w:rPr>
        <w:t>not just opportunities to take a few electives</w:t>
      </w:r>
      <w:r w:rsidRPr="00231FA3">
        <w:rPr>
          <w:rFonts w:eastAsiaTheme="minorHAnsi"/>
        </w:rPr>
        <w:t xml:space="preserve">.  </w:t>
      </w:r>
    </w:p>
    <w:p w:rsidR="007A679D" w:rsidRDefault="00FA12A9" w:rsidP="008E1A8A">
      <w:pPr>
        <w:numPr>
          <w:ilvl w:val="1"/>
          <w:numId w:val="17"/>
        </w:numPr>
        <w:ind w:left="1080"/>
        <w:contextualSpacing/>
        <w:rPr>
          <w:rFonts w:eastAsiaTheme="minorHAnsi"/>
        </w:rPr>
      </w:pPr>
      <w:r w:rsidRPr="009A2354">
        <w:rPr>
          <w:rFonts w:eastAsiaTheme="minorHAnsi"/>
          <w:b/>
        </w:rPr>
        <w:t>Ms. Schum</w:t>
      </w:r>
      <w:r w:rsidR="00231FA3" w:rsidRPr="00231FA3">
        <w:rPr>
          <w:rFonts w:eastAsiaTheme="minorHAnsi"/>
        </w:rPr>
        <w:t>: Connections is es</w:t>
      </w:r>
      <w:r w:rsidR="007A679D">
        <w:rPr>
          <w:rFonts w:eastAsiaTheme="minorHAnsi"/>
        </w:rPr>
        <w:t xml:space="preserve">sential to get kids caught up with necessary math and </w:t>
      </w:r>
      <w:r w:rsidR="00231FA3" w:rsidRPr="00231FA3">
        <w:rPr>
          <w:rFonts w:eastAsiaTheme="minorHAnsi"/>
        </w:rPr>
        <w:t>English/</w:t>
      </w:r>
      <w:r w:rsidR="007A679D">
        <w:rPr>
          <w:rFonts w:eastAsiaTheme="minorHAnsi"/>
        </w:rPr>
        <w:t>r</w:t>
      </w:r>
      <w:r w:rsidR="00231FA3" w:rsidRPr="00231FA3">
        <w:rPr>
          <w:rFonts w:eastAsiaTheme="minorHAnsi"/>
        </w:rPr>
        <w:t xml:space="preserve">eading skills to succeed in high school classes. </w:t>
      </w:r>
    </w:p>
    <w:p w:rsidR="00231FA3" w:rsidRDefault="00231FA3" w:rsidP="008E1A8A">
      <w:pPr>
        <w:numPr>
          <w:ilvl w:val="2"/>
          <w:numId w:val="17"/>
        </w:numPr>
        <w:ind w:left="1800"/>
        <w:contextualSpacing/>
        <w:rPr>
          <w:rFonts w:eastAsiaTheme="minorHAnsi"/>
        </w:rPr>
      </w:pPr>
      <w:r w:rsidRPr="007A679D">
        <w:rPr>
          <w:rFonts w:eastAsiaTheme="minorHAnsi"/>
        </w:rPr>
        <w:t>CCR Phas</w:t>
      </w:r>
      <w:r w:rsidR="007A679D" w:rsidRPr="007A679D">
        <w:rPr>
          <w:rFonts w:eastAsiaTheme="minorHAnsi"/>
        </w:rPr>
        <w:t>e 2 will involve more strategic</w:t>
      </w:r>
      <w:r w:rsidRPr="007A679D">
        <w:rPr>
          <w:rFonts w:eastAsiaTheme="minorHAnsi"/>
        </w:rPr>
        <w:t xml:space="preserve"> focusing and targeting</w:t>
      </w:r>
      <w:r w:rsidR="007A679D" w:rsidRPr="007A679D">
        <w:rPr>
          <w:rFonts w:eastAsiaTheme="minorHAnsi"/>
        </w:rPr>
        <w:t xml:space="preserve"> of strategies and resources</w:t>
      </w:r>
      <w:r w:rsidRPr="007A679D">
        <w:rPr>
          <w:rFonts w:eastAsiaTheme="minorHAnsi"/>
        </w:rPr>
        <w:t>.</w:t>
      </w:r>
    </w:p>
    <w:p w:rsidR="007B7704" w:rsidRPr="007A679D" w:rsidRDefault="007B7704" w:rsidP="001C1675">
      <w:pPr>
        <w:ind w:left="720"/>
        <w:contextualSpacing/>
        <w:rPr>
          <w:rFonts w:eastAsiaTheme="minorHAnsi"/>
        </w:rPr>
      </w:pPr>
    </w:p>
    <w:p w:rsidR="00FA12A9" w:rsidRDefault="00FA12A9" w:rsidP="001C1675">
      <w:pPr>
        <w:contextualSpacing/>
        <w:rPr>
          <w:rFonts w:eastAsiaTheme="minorHAnsi"/>
          <w:u w:val="single"/>
        </w:rPr>
      </w:pPr>
      <w:r w:rsidRPr="00FA12A9">
        <w:rPr>
          <w:rFonts w:eastAsiaTheme="minorHAnsi"/>
          <w:b/>
        </w:rPr>
        <w:t>Accelerated Student Achievement Pathway (ASAP)</w:t>
      </w:r>
    </w:p>
    <w:p w:rsidR="00231FA3" w:rsidRPr="00231FA3" w:rsidRDefault="00231FA3" w:rsidP="00FA12A9">
      <w:pPr>
        <w:ind w:firstLine="720"/>
        <w:contextualSpacing/>
        <w:rPr>
          <w:rFonts w:eastAsiaTheme="minorHAnsi"/>
        </w:rPr>
      </w:pPr>
      <w:r w:rsidRPr="00FA12A9">
        <w:rPr>
          <w:rFonts w:eastAsiaTheme="minorHAnsi"/>
        </w:rPr>
        <w:t>Jeff Hand</w:t>
      </w:r>
      <w:r w:rsidR="00FA12A9" w:rsidRPr="00FA12A9">
        <w:rPr>
          <w:rFonts w:eastAsiaTheme="minorHAnsi"/>
        </w:rPr>
        <w:t xml:space="preserve"> gave a presentation on</w:t>
      </w:r>
      <w:r w:rsidR="00FA12A9">
        <w:rPr>
          <w:rFonts w:eastAsiaTheme="minorHAnsi"/>
          <w:u w:val="single"/>
        </w:rPr>
        <w:t xml:space="preserve"> </w:t>
      </w:r>
      <w:r w:rsidR="007A679D">
        <w:rPr>
          <w:rFonts w:eastAsiaTheme="minorHAnsi"/>
        </w:rPr>
        <w:t>ASAP: Act 660 led to Bulletin</w:t>
      </w:r>
      <w:r w:rsidRPr="00231FA3">
        <w:rPr>
          <w:rFonts w:eastAsiaTheme="minorHAnsi"/>
        </w:rPr>
        <w:t xml:space="preserve"> 741 seat 2317, which allows for accelerated/ea</w:t>
      </w:r>
      <w:r w:rsidR="007A679D">
        <w:rPr>
          <w:rFonts w:eastAsiaTheme="minorHAnsi"/>
        </w:rPr>
        <w:t>rly graduation and prevents LEA</w:t>
      </w:r>
      <w:r w:rsidRPr="00231FA3">
        <w:rPr>
          <w:rFonts w:eastAsiaTheme="minorHAnsi"/>
        </w:rPr>
        <w:t xml:space="preserve">s from prohibiting </w:t>
      </w:r>
      <w:r w:rsidR="007A679D">
        <w:rPr>
          <w:rFonts w:eastAsiaTheme="minorHAnsi"/>
        </w:rPr>
        <w:t xml:space="preserve">students from doing so and emphasizes the </w:t>
      </w:r>
      <w:r w:rsidRPr="00231FA3">
        <w:rPr>
          <w:rFonts w:eastAsiaTheme="minorHAnsi"/>
        </w:rPr>
        <w:t>paramount importance of a mentor</w:t>
      </w:r>
      <w:r w:rsidR="007A679D">
        <w:rPr>
          <w:rFonts w:eastAsiaTheme="minorHAnsi"/>
        </w:rPr>
        <w:t xml:space="preserve"> in a successful accelerated graduation program</w:t>
      </w:r>
      <w:r w:rsidRPr="00231FA3">
        <w:rPr>
          <w:rFonts w:eastAsiaTheme="minorHAnsi"/>
        </w:rPr>
        <w:t>.</w:t>
      </w:r>
    </w:p>
    <w:p w:rsidR="00231FA3" w:rsidRPr="00231FA3" w:rsidRDefault="002E73E0" w:rsidP="008E1A8A">
      <w:pPr>
        <w:numPr>
          <w:ilvl w:val="0"/>
          <w:numId w:val="18"/>
        </w:numPr>
        <w:ind w:left="1080"/>
        <w:contextualSpacing/>
        <w:rPr>
          <w:rFonts w:eastAsiaTheme="minorHAnsi"/>
        </w:rPr>
      </w:pPr>
      <w:r>
        <w:rPr>
          <w:rFonts w:eastAsiaTheme="minorHAnsi"/>
        </w:rPr>
        <w:t xml:space="preserve">Jeff asked </w:t>
      </w:r>
      <w:r w:rsidR="00231FA3" w:rsidRPr="00231FA3">
        <w:rPr>
          <w:rFonts w:eastAsiaTheme="minorHAnsi"/>
        </w:rPr>
        <w:t xml:space="preserve">Pat Deville to give </w:t>
      </w:r>
      <w:r w:rsidR="00FA12A9">
        <w:rPr>
          <w:rFonts w:eastAsiaTheme="minorHAnsi"/>
        </w:rPr>
        <w:t xml:space="preserve">an </w:t>
      </w:r>
      <w:r w:rsidR="00231FA3" w:rsidRPr="00231FA3">
        <w:rPr>
          <w:rFonts w:eastAsiaTheme="minorHAnsi"/>
        </w:rPr>
        <w:t>overview of the “Condensed Accelerated Curricul</w:t>
      </w:r>
      <w:r w:rsidR="007B7704">
        <w:rPr>
          <w:rFonts w:eastAsiaTheme="minorHAnsi"/>
        </w:rPr>
        <w:t xml:space="preserve">um” seen at a school in Texas. It </w:t>
      </w:r>
      <w:r w:rsidR="00B02E04">
        <w:rPr>
          <w:rFonts w:eastAsiaTheme="minorHAnsi"/>
        </w:rPr>
        <w:t xml:space="preserve">did </w:t>
      </w:r>
      <w:r w:rsidR="007B7704">
        <w:rPr>
          <w:rFonts w:eastAsiaTheme="minorHAnsi"/>
        </w:rPr>
        <w:t>t</w:t>
      </w:r>
      <w:r w:rsidR="009A2354">
        <w:rPr>
          <w:rFonts w:eastAsiaTheme="minorHAnsi"/>
        </w:rPr>
        <w:t>ake</w:t>
      </w:r>
      <w:r w:rsidR="00B02E04">
        <w:rPr>
          <w:rFonts w:eastAsiaTheme="minorHAnsi"/>
        </w:rPr>
        <w:t xml:space="preserve"> a lot of money</w:t>
      </w:r>
      <w:r w:rsidR="00231FA3" w:rsidRPr="00231FA3">
        <w:rPr>
          <w:rFonts w:eastAsiaTheme="minorHAnsi"/>
        </w:rPr>
        <w:t>.</w:t>
      </w:r>
    </w:p>
    <w:p w:rsidR="00231FA3" w:rsidRPr="00231FA3" w:rsidRDefault="00231FA3" w:rsidP="008E1A8A">
      <w:pPr>
        <w:numPr>
          <w:ilvl w:val="0"/>
          <w:numId w:val="18"/>
        </w:numPr>
        <w:ind w:left="1080"/>
        <w:contextualSpacing/>
        <w:rPr>
          <w:rFonts w:eastAsiaTheme="minorHAnsi"/>
        </w:rPr>
      </w:pPr>
      <w:r w:rsidRPr="00B02E04">
        <w:rPr>
          <w:rFonts w:eastAsiaTheme="minorHAnsi"/>
          <w:b/>
        </w:rPr>
        <w:t>Question</w:t>
      </w:r>
      <w:r w:rsidRPr="00231FA3">
        <w:rPr>
          <w:rFonts w:eastAsiaTheme="minorHAnsi"/>
        </w:rPr>
        <w:t>: Will waiver apply to all kids or just average?</w:t>
      </w:r>
    </w:p>
    <w:p w:rsidR="00231FA3" w:rsidRPr="00231FA3" w:rsidRDefault="00231FA3" w:rsidP="008E1A8A">
      <w:pPr>
        <w:numPr>
          <w:ilvl w:val="2"/>
          <w:numId w:val="18"/>
        </w:numPr>
        <w:ind w:left="1800"/>
        <w:contextualSpacing/>
        <w:rPr>
          <w:rFonts w:eastAsiaTheme="minorHAnsi"/>
        </w:rPr>
      </w:pPr>
      <w:r w:rsidRPr="00B02E04">
        <w:rPr>
          <w:rFonts w:eastAsiaTheme="minorHAnsi"/>
          <w:b/>
        </w:rPr>
        <w:t>Answer</w:t>
      </w:r>
      <w:r w:rsidRPr="00231FA3">
        <w:rPr>
          <w:rFonts w:eastAsiaTheme="minorHAnsi"/>
        </w:rPr>
        <w:t>: ALL</w:t>
      </w:r>
    </w:p>
    <w:p w:rsidR="00231FA3" w:rsidRPr="00231FA3" w:rsidRDefault="00231FA3" w:rsidP="008E1A8A">
      <w:pPr>
        <w:numPr>
          <w:ilvl w:val="0"/>
          <w:numId w:val="18"/>
        </w:numPr>
        <w:ind w:left="1080"/>
        <w:contextualSpacing/>
        <w:rPr>
          <w:rFonts w:eastAsiaTheme="minorHAnsi"/>
        </w:rPr>
      </w:pPr>
      <w:r w:rsidRPr="00B02E04">
        <w:rPr>
          <w:rFonts w:eastAsiaTheme="minorHAnsi"/>
          <w:b/>
        </w:rPr>
        <w:t>Question</w:t>
      </w:r>
      <w:r w:rsidRPr="00231FA3">
        <w:rPr>
          <w:rFonts w:eastAsiaTheme="minorHAnsi"/>
        </w:rPr>
        <w:t>: Will kids be protected from truancy law?</w:t>
      </w:r>
    </w:p>
    <w:p w:rsidR="00231FA3" w:rsidRPr="00231FA3" w:rsidRDefault="00B02E04" w:rsidP="008E1A8A">
      <w:pPr>
        <w:numPr>
          <w:ilvl w:val="2"/>
          <w:numId w:val="18"/>
        </w:numPr>
        <w:ind w:left="1800"/>
        <w:contextualSpacing/>
        <w:rPr>
          <w:rFonts w:eastAsiaTheme="minorHAnsi"/>
        </w:rPr>
      </w:pPr>
      <w:r w:rsidRPr="00B02E04">
        <w:rPr>
          <w:rFonts w:eastAsiaTheme="minorHAnsi"/>
          <w:b/>
        </w:rPr>
        <w:t>Ms. Schum</w:t>
      </w:r>
      <w:r w:rsidR="00231FA3" w:rsidRPr="00231FA3">
        <w:rPr>
          <w:rFonts w:eastAsiaTheme="minorHAnsi"/>
        </w:rPr>
        <w:t>: It has already been updated.</w:t>
      </w:r>
    </w:p>
    <w:p w:rsidR="00231FA3" w:rsidRPr="00231FA3" w:rsidRDefault="00231FA3" w:rsidP="008E1A8A">
      <w:pPr>
        <w:numPr>
          <w:ilvl w:val="0"/>
          <w:numId w:val="18"/>
        </w:numPr>
        <w:ind w:left="1080"/>
        <w:contextualSpacing/>
        <w:rPr>
          <w:rFonts w:eastAsiaTheme="minorHAnsi"/>
        </w:rPr>
      </w:pPr>
      <w:r w:rsidRPr="00B02E04">
        <w:rPr>
          <w:rFonts w:eastAsiaTheme="minorHAnsi"/>
          <w:b/>
        </w:rPr>
        <w:t>Question</w:t>
      </w:r>
      <w:r w:rsidRPr="00231FA3">
        <w:rPr>
          <w:rFonts w:eastAsiaTheme="minorHAnsi"/>
        </w:rPr>
        <w:t>: A lot of implications around this (especially for Accountability scores, etc.). B</w:t>
      </w:r>
      <w:r w:rsidR="007B7704">
        <w:rPr>
          <w:rFonts w:eastAsiaTheme="minorHAnsi"/>
        </w:rPr>
        <w:t>ulletin</w:t>
      </w:r>
      <w:r w:rsidRPr="00231FA3">
        <w:rPr>
          <w:rFonts w:eastAsiaTheme="minorHAnsi"/>
        </w:rPr>
        <w:t xml:space="preserve"> 741 changes will be needed. </w:t>
      </w:r>
    </w:p>
    <w:p w:rsidR="00231FA3" w:rsidRPr="00231FA3" w:rsidRDefault="00B02E04" w:rsidP="008E1A8A">
      <w:pPr>
        <w:numPr>
          <w:ilvl w:val="2"/>
          <w:numId w:val="26"/>
        </w:numPr>
        <w:ind w:left="1800"/>
        <w:contextualSpacing/>
        <w:rPr>
          <w:rFonts w:eastAsiaTheme="minorHAnsi"/>
        </w:rPr>
      </w:pPr>
      <w:r>
        <w:rPr>
          <w:rFonts w:eastAsiaTheme="minorHAnsi"/>
        </w:rPr>
        <w:t>Ms. Schum:  W</w:t>
      </w:r>
      <w:r w:rsidR="00231FA3" w:rsidRPr="00231FA3">
        <w:rPr>
          <w:rFonts w:eastAsiaTheme="minorHAnsi"/>
        </w:rPr>
        <w:t>e will work on this, especially after this pilot.</w:t>
      </w:r>
    </w:p>
    <w:p w:rsidR="00231FA3" w:rsidRDefault="00231FA3" w:rsidP="008E1A8A">
      <w:pPr>
        <w:numPr>
          <w:ilvl w:val="2"/>
          <w:numId w:val="26"/>
        </w:numPr>
        <w:ind w:left="1800"/>
        <w:contextualSpacing/>
        <w:rPr>
          <w:rFonts w:eastAsiaTheme="minorHAnsi"/>
        </w:rPr>
      </w:pPr>
      <w:r w:rsidRPr="002E73E0">
        <w:rPr>
          <w:rFonts w:eastAsiaTheme="minorHAnsi"/>
        </w:rPr>
        <w:t>Jeff</w:t>
      </w:r>
      <w:r w:rsidR="002E73E0">
        <w:rPr>
          <w:rFonts w:eastAsiaTheme="minorHAnsi"/>
        </w:rPr>
        <w:t xml:space="preserve"> explained that </w:t>
      </w:r>
      <w:r w:rsidR="00B02E04">
        <w:rPr>
          <w:rFonts w:eastAsiaTheme="minorHAnsi"/>
        </w:rPr>
        <w:t xml:space="preserve">a </w:t>
      </w:r>
      <w:r w:rsidR="007B7704">
        <w:rPr>
          <w:rFonts w:eastAsiaTheme="minorHAnsi"/>
        </w:rPr>
        <w:t xml:space="preserve">strong program is </w:t>
      </w:r>
      <w:r w:rsidRPr="00231FA3">
        <w:rPr>
          <w:rFonts w:eastAsiaTheme="minorHAnsi"/>
        </w:rPr>
        <w:t>only really manageable at about 15 students per group in a school.</w:t>
      </w:r>
    </w:p>
    <w:p w:rsidR="007B7704" w:rsidRPr="00231FA3" w:rsidRDefault="007B7704" w:rsidP="001C1675">
      <w:pPr>
        <w:ind w:left="1440"/>
        <w:contextualSpacing/>
        <w:rPr>
          <w:rFonts w:eastAsiaTheme="minorHAnsi"/>
        </w:rPr>
      </w:pPr>
    </w:p>
    <w:p w:rsidR="00B02E04" w:rsidRDefault="00B02E04" w:rsidP="00B02E04">
      <w:pPr>
        <w:contextualSpacing/>
        <w:rPr>
          <w:rFonts w:eastAsiaTheme="minorHAnsi"/>
        </w:rPr>
      </w:pPr>
      <w:r w:rsidRPr="00B02E04">
        <w:rPr>
          <w:rFonts w:eastAsiaTheme="minorHAnsi"/>
          <w:b/>
        </w:rPr>
        <w:t>Advanced Placement (AP)</w:t>
      </w:r>
    </w:p>
    <w:p w:rsidR="00231FA3" w:rsidRPr="00231FA3" w:rsidRDefault="00231FA3" w:rsidP="00B02E04">
      <w:pPr>
        <w:ind w:firstLine="720"/>
        <w:contextualSpacing/>
        <w:rPr>
          <w:rFonts w:eastAsiaTheme="minorHAnsi"/>
        </w:rPr>
      </w:pPr>
      <w:r w:rsidRPr="003B57B6">
        <w:rPr>
          <w:rFonts w:eastAsiaTheme="minorHAnsi"/>
        </w:rPr>
        <w:t xml:space="preserve">Ken </w:t>
      </w:r>
      <w:r w:rsidR="007B7704" w:rsidRPr="003B57B6">
        <w:rPr>
          <w:rFonts w:eastAsiaTheme="minorHAnsi"/>
        </w:rPr>
        <w:t>Bradford</w:t>
      </w:r>
      <w:r w:rsidR="007B7704">
        <w:rPr>
          <w:rFonts w:eastAsiaTheme="minorHAnsi"/>
        </w:rPr>
        <w:t xml:space="preserve"> </w:t>
      </w:r>
      <w:r w:rsidRPr="00231FA3">
        <w:rPr>
          <w:rFonts w:eastAsiaTheme="minorHAnsi"/>
        </w:rPr>
        <w:t xml:space="preserve">presented on Advanced Placement </w:t>
      </w:r>
      <w:r w:rsidR="002E73E0">
        <w:rPr>
          <w:rFonts w:eastAsiaTheme="minorHAnsi"/>
        </w:rPr>
        <w:t xml:space="preserve">(AP) </w:t>
      </w:r>
      <w:r w:rsidRPr="00231FA3">
        <w:rPr>
          <w:rFonts w:eastAsiaTheme="minorHAnsi"/>
        </w:rPr>
        <w:t>offerings and policy.</w:t>
      </w:r>
    </w:p>
    <w:p w:rsidR="00231FA3" w:rsidRPr="00231FA3" w:rsidRDefault="00231FA3" w:rsidP="008E1A8A">
      <w:pPr>
        <w:numPr>
          <w:ilvl w:val="0"/>
          <w:numId w:val="27"/>
        </w:numPr>
        <w:contextualSpacing/>
        <w:rPr>
          <w:rFonts w:eastAsiaTheme="minorHAnsi"/>
        </w:rPr>
      </w:pPr>
      <w:r w:rsidRPr="00231FA3">
        <w:rPr>
          <w:rFonts w:eastAsiaTheme="minorHAnsi"/>
        </w:rPr>
        <w:t>Convening sta</w:t>
      </w:r>
      <w:r w:rsidR="007B7704">
        <w:rPr>
          <w:rFonts w:eastAsiaTheme="minorHAnsi"/>
        </w:rPr>
        <w:t>k</w:t>
      </w:r>
      <w:r w:rsidRPr="00231FA3">
        <w:rPr>
          <w:rFonts w:eastAsiaTheme="minorHAnsi"/>
        </w:rPr>
        <w:t xml:space="preserve">eholders group to see what we need to do to get this </w:t>
      </w:r>
      <w:r w:rsidR="007B7704">
        <w:rPr>
          <w:rFonts w:eastAsiaTheme="minorHAnsi"/>
        </w:rPr>
        <w:t>Louisiana’s AP participation to the</w:t>
      </w:r>
      <w:r w:rsidRPr="00231FA3">
        <w:rPr>
          <w:rFonts w:eastAsiaTheme="minorHAnsi"/>
        </w:rPr>
        <w:t xml:space="preserve"> national average.</w:t>
      </w:r>
    </w:p>
    <w:p w:rsidR="00231FA3" w:rsidRPr="00231FA3" w:rsidRDefault="00231FA3" w:rsidP="008E1A8A">
      <w:pPr>
        <w:numPr>
          <w:ilvl w:val="0"/>
          <w:numId w:val="27"/>
        </w:numPr>
        <w:contextualSpacing/>
        <w:rPr>
          <w:rFonts w:eastAsiaTheme="minorHAnsi"/>
        </w:rPr>
      </w:pPr>
      <w:r w:rsidRPr="00B02E04">
        <w:rPr>
          <w:rFonts w:eastAsiaTheme="minorHAnsi"/>
          <w:b/>
        </w:rPr>
        <w:t>Highlight</w:t>
      </w:r>
      <w:r w:rsidRPr="00231FA3">
        <w:rPr>
          <w:rFonts w:eastAsiaTheme="minorHAnsi"/>
        </w:rPr>
        <w:t xml:space="preserve">: AP participation and success have shown to very substantially improve college </w:t>
      </w:r>
      <w:r w:rsidRPr="00231FA3">
        <w:rPr>
          <w:rFonts w:eastAsiaTheme="minorHAnsi"/>
          <w:u w:val="single"/>
        </w:rPr>
        <w:t>success</w:t>
      </w:r>
      <w:r w:rsidRPr="00231FA3">
        <w:rPr>
          <w:rFonts w:eastAsiaTheme="minorHAnsi"/>
        </w:rPr>
        <w:t xml:space="preserve"> rate for various groups, including low income.</w:t>
      </w:r>
    </w:p>
    <w:p w:rsidR="00231FA3" w:rsidRPr="007B7704" w:rsidRDefault="00231FA3" w:rsidP="008E1A8A">
      <w:pPr>
        <w:numPr>
          <w:ilvl w:val="0"/>
          <w:numId w:val="27"/>
        </w:numPr>
        <w:contextualSpacing/>
        <w:rPr>
          <w:rFonts w:eastAsiaTheme="minorHAnsi"/>
        </w:rPr>
      </w:pPr>
      <w:r w:rsidRPr="00B02E04">
        <w:rPr>
          <w:rFonts w:eastAsiaTheme="minorHAnsi"/>
          <w:b/>
        </w:rPr>
        <w:t>Comment</w:t>
      </w:r>
      <w:r w:rsidR="007B7704">
        <w:rPr>
          <w:rFonts w:eastAsiaTheme="minorHAnsi"/>
        </w:rPr>
        <w:t>: Currently, there is not really a</w:t>
      </w:r>
      <w:r w:rsidRPr="00231FA3">
        <w:rPr>
          <w:rFonts w:eastAsiaTheme="minorHAnsi"/>
        </w:rPr>
        <w:t>n incentive for taking AP exams.</w:t>
      </w:r>
      <w:r w:rsidR="007B7704">
        <w:rPr>
          <w:rFonts w:eastAsiaTheme="minorHAnsi"/>
        </w:rPr>
        <w:t xml:space="preserve"> </w:t>
      </w:r>
      <w:r w:rsidRPr="007B7704">
        <w:rPr>
          <w:rFonts w:eastAsiaTheme="minorHAnsi"/>
        </w:rPr>
        <w:t>Suggested that CTE weight in MFP be changed to “CCR” weight, which would then include AP</w:t>
      </w:r>
      <w:r w:rsidR="007B7704">
        <w:rPr>
          <w:rFonts w:eastAsiaTheme="minorHAnsi"/>
        </w:rPr>
        <w:t xml:space="preserve"> participation</w:t>
      </w:r>
      <w:r w:rsidRPr="007B7704">
        <w:rPr>
          <w:rFonts w:eastAsiaTheme="minorHAnsi"/>
        </w:rPr>
        <w:t>.</w:t>
      </w:r>
    </w:p>
    <w:p w:rsidR="007B7704" w:rsidRDefault="00231FA3" w:rsidP="008E1A8A">
      <w:pPr>
        <w:numPr>
          <w:ilvl w:val="0"/>
          <w:numId w:val="27"/>
        </w:numPr>
        <w:contextualSpacing/>
        <w:rPr>
          <w:rFonts w:eastAsiaTheme="minorHAnsi"/>
        </w:rPr>
      </w:pPr>
      <w:r w:rsidRPr="00B02E04">
        <w:rPr>
          <w:rFonts w:eastAsiaTheme="minorHAnsi"/>
          <w:b/>
        </w:rPr>
        <w:t>Comment</w:t>
      </w:r>
      <w:r w:rsidRPr="00231FA3">
        <w:rPr>
          <w:rFonts w:eastAsiaTheme="minorHAnsi"/>
        </w:rPr>
        <w:t>: In Calcasieu, they’ve seen a big advantage in</w:t>
      </w:r>
      <w:r w:rsidR="007B7704">
        <w:rPr>
          <w:rFonts w:eastAsiaTheme="minorHAnsi"/>
        </w:rPr>
        <w:t xml:space="preserve"> students</w:t>
      </w:r>
      <w:r w:rsidRPr="00231FA3">
        <w:rPr>
          <w:rFonts w:eastAsiaTheme="minorHAnsi"/>
        </w:rPr>
        <w:t xml:space="preserve"> taking the </w:t>
      </w:r>
      <w:r w:rsidR="007B7704">
        <w:rPr>
          <w:rFonts w:eastAsiaTheme="minorHAnsi"/>
        </w:rPr>
        <w:t xml:space="preserve">AP </w:t>
      </w:r>
      <w:r w:rsidRPr="00231FA3">
        <w:rPr>
          <w:rFonts w:eastAsiaTheme="minorHAnsi"/>
        </w:rPr>
        <w:t xml:space="preserve">exam. </w:t>
      </w:r>
      <w:r w:rsidR="00BA38EB">
        <w:rPr>
          <w:rFonts w:eastAsiaTheme="minorHAnsi"/>
        </w:rPr>
        <w:t>The</w:t>
      </w:r>
      <w:r w:rsidR="007B7704">
        <w:rPr>
          <w:rFonts w:eastAsiaTheme="minorHAnsi"/>
        </w:rPr>
        <w:t>re are v</w:t>
      </w:r>
      <w:r w:rsidRPr="00231FA3">
        <w:rPr>
          <w:rFonts w:eastAsiaTheme="minorHAnsi"/>
        </w:rPr>
        <w:t>arious incentives in place – GPA,</w:t>
      </w:r>
      <w:r w:rsidR="007B7704">
        <w:rPr>
          <w:rFonts w:eastAsiaTheme="minorHAnsi"/>
        </w:rPr>
        <w:t xml:space="preserve"> financial</w:t>
      </w:r>
      <w:r w:rsidRPr="00231FA3">
        <w:rPr>
          <w:rFonts w:eastAsiaTheme="minorHAnsi"/>
        </w:rPr>
        <w:t xml:space="preserve"> incentive, etc.</w:t>
      </w:r>
      <w:r w:rsidR="007B7704" w:rsidRPr="007B7704">
        <w:rPr>
          <w:rFonts w:eastAsiaTheme="minorHAnsi"/>
        </w:rPr>
        <w:t xml:space="preserve"> </w:t>
      </w:r>
    </w:p>
    <w:p w:rsidR="00231FA3" w:rsidRPr="00231FA3" w:rsidRDefault="007B7704" w:rsidP="008E1A8A">
      <w:pPr>
        <w:numPr>
          <w:ilvl w:val="0"/>
          <w:numId w:val="27"/>
        </w:numPr>
        <w:contextualSpacing/>
        <w:rPr>
          <w:rFonts w:eastAsiaTheme="minorHAnsi"/>
        </w:rPr>
      </w:pPr>
      <w:r w:rsidRPr="007B7704">
        <w:rPr>
          <w:rFonts w:eastAsiaTheme="minorHAnsi"/>
        </w:rPr>
        <w:t>There was s</w:t>
      </w:r>
      <w:r w:rsidRPr="00231FA3">
        <w:rPr>
          <w:rFonts w:eastAsiaTheme="minorHAnsi"/>
        </w:rPr>
        <w:t xml:space="preserve">ome discussion around </w:t>
      </w:r>
      <w:r>
        <w:rPr>
          <w:rFonts w:eastAsiaTheme="minorHAnsi"/>
        </w:rPr>
        <w:t>p</w:t>
      </w:r>
      <w:r w:rsidRPr="00231FA3">
        <w:rPr>
          <w:rFonts w:eastAsiaTheme="minorHAnsi"/>
        </w:rPr>
        <w:t>lan</w:t>
      </w:r>
      <w:r>
        <w:rPr>
          <w:rFonts w:eastAsiaTheme="minorHAnsi"/>
        </w:rPr>
        <w:t>.</w:t>
      </w:r>
    </w:p>
    <w:p w:rsidR="00231FA3" w:rsidRPr="00231FA3" w:rsidRDefault="00231FA3" w:rsidP="008E1A8A">
      <w:pPr>
        <w:numPr>
          <w:ilvl w:val="0"/>
          <w:numId w:val="27"/>
        </w:numPr>
        <w:contextualSpacing/>
        <w:rPr>
          <w:rFonts w:eastAsiaTheme="minorHAnsi"/>
        </w:rPr>
      </w:pPr>
      <w:r w:rsidRPr="00B02E04">
        <w:rPr>
          <w:rFonts w:eastAsiaTheme="minorHAnsi"/>
          <w:b/>
        </w:rPr>
        <w:t>Question</w:t>
      </w:r>
      <w:r w:rsidRPr="00231FA3">
        <w:rPr>
          <w:rFonts w:eastAsiaTheme="minorHAnsi"/>
        </w:rPr>
        <w:t xml:space="preserve">: </w:t>
      </w:r>
      <w:r w:rsidR="007B7704">
        <w:rPr>
          <w:rFonts w:eastAsiaTheme="minorHAnsi"/>
        </w:rPr>
        <w:t>Lower income students</w:t>
      </w:r>
      <w:r w:rsidRPr="00231FA3">
        <w:rPr>
          <w:rFonts w:eastAsiaTheme="minorHAnsi"/>
        </w:rPr>
        <w:t xml:space="preserve"> tend to have less access to </w:t>
      </w:r>
      <w:r w:rsidR="007B7704">
        <w:rPr>
          <w:rFonts w:eastAsiaTheme="minorHAnsi"/>
        </w:rPr>
        <w:t xml:space="preserve">ACT prep, so have we looked at the potential impact </w:t>
      </w:r>
      <w:r w:rsidRPr="00231FA3">
        <w:rPr>
          <w:rFonts w:eastAsiaTheme="minorHAnsi"/>
        </w:rPr>
        <w:t>of weighting this more heavily?</w:t>
      </w:r>
    </w:p>
    <w:p w:rsidR="00231FA3" w:rsidRPr="00231FA3" w:rsidRDefault="00231FA3" w:rsidP="008E1A8A">
      <w:pPr>
        <w:numPr>
          <w:ilvl w:val="2"/>
          <w:numId w:val="21"/>
        </w:numPr>
        <w:ind w:left="1800"/>
        <w:contextualSpacing/>
        <w:rPr>
          <w:rFonts w:eastAsiaTheme="minorHAnsi"/>
        </w:rPr>
      </w:pPr>
      <w:r w:rsidRPr="00B02E04">
        <w:rPr>
          <w:rFonts w:eastAsiaTheme="minorHAnsi"/>
          <w:b/>
        </w:rPr>
        <w:t>Nancy Beben</w:t>
      </w:r>
      <w:r w:rsidRPr="00231FA3">
        <w:rPr>
          <w:rFonts w:eastAsiaTheme="minorHAnsi"/>
        </w:rPr>
        <w:t>: Most all LEAs approved higher grading scale than BESE selected.</w:t>
      </w:r>
    </w:p>
    <w:p w:rsidR="00231FA3" w:rsidRPr="00231FA3" w:rsidRDefault="00231FA3" w:rsidP="008E1A8A">
      <w:pPr>
        <w:numPr>
          <w:ilvl w:val="1"/>
          <w:numId w:val="28"/>
        </w:numPr>
        <w:ind w:left="1080"/>
        <w:contextualSpacing/>
        <w:rPr>
          <w:rFonts w:eastAsiaTheme="minorHAnsi"/>
        </w:rPr>
      </w:pPr>
      <w:r w:rsidRPr="00B02E04">
        <w:rPr>
          <w:rFonts w:eastAsiaTheme="minorHAnsi"/>
          <w:b/>
        </w:rPr>
        <w:t>Comment</w:t>
      </w:r>
      <w:r w:rsidRPr="00231FA3">
        <w:rPr>
          <w:rFonts w:eastAsiaTheme="minorHAnsi"/>
        </w:rPr>
        <w:t>: The bottom line is that we still need to incentivize/</w:t>
      </w:r>
      <w:r w:rsidR="007B7704">
        <w:rPr>
          <w:rFonts w:eastAsiaTheme="minorHAnsi"/>
        </w:rPr>
        <w:t xml:space="preserve">not </w:t>
      </w:r>
      <w:r w:rsidRPr="00231FA3">
        <w:rPr>
          <w:rFonts w:eastAsiaTheme="minorHAnsi"/>
        </w:rPr>
        <w:t xml:space="preserve">disincentivize </w:t>
      </w:r>
      <w:r w:rsidR="007B7704">
        <w:rPr>
          <w:rFonts w:eastAsiaTheme="minorHAnsi"/>
        </w:rPr>
        <w:t xml:space="preserve">students </w:t>
      </w:r>
      <w:r w:rsidRPr="00231FA3">
        <w:rPr>
          <w:rFonts w:eastAsiaTheme="minorHAnsi"/>
        </w:rPr>
        <w:t xml:space="preserve">taking AP </w:t>
      </w:r>
      <w:r w:rsidR="007B7704">
        <w:rPr>
          <w:rFonts w:eastAsiaTheme="minorHAnsi"/>
        </w:rPr>
        <w:t xml:space="preserve">classes or the </w:t>
      </w:r>
      <w:r w:rsidRPr="00231FA3">
        <w:rPr>
          <w:rFonts w:eastAsiaTheme="minorHAnsi"/>
        </w:rPr>
        <w:t>AP exam.</w:t>
      </w:r>
    </w:p>
    <w:p w:rsidR="00231FA3" w:rsidRPr="00231FA3" w:rsidRDefault="00231FA3" w:rsidP="008E1A8A">
      <w:pPr>
        <w:numPr>
          <w:ilvl w:val="1"/>
          <w:numId w:val="28"/>
        </w:numPr>
        <w:tabs>
          <w:tab w:val="left" w:pos="1080"/>
        </w:tabs>
        <w:ind w:left="1080"/>
        <w:contextualSpacing/>
        <w:rPr>
          <w:rFonts w:eastAsiaTheme="minorHAnsi"/>
        </w:rPr>
      </w:pPr>
      <w:r w:rsidRPr="00B02E04">
        <w:rPr>
          <w:rFonts w:eastAsiaTheme="minorHAnsi"/>
          <w:b/>
        </w:rPr>
        <w:t>Comment</w:t>
      </w:r>
      <w:r w:rsidR="007B7704">
        <w:rPr>
          <w:rFonts w:eastAsiaTheme="minorHAnsi"/>
        </w:rPr>
        <w:t>: It is i</w:t>
      </w:r>
      <w:r w:rsidRPr="00231FA3">
        <w:rPr>
          <w:rFonts w:eastAsiaTheme="minorHAnsi"/>
        </w:rPr>
        <w:t xml:space="preserve">mportant to have Pre-AP emphasis in </w:t>
      </w:r>
      <w:r w:rsidR="007B7704">
        <w:rPr>
          <w:rFonts w:eastAsiaTheme="minorHAnsi"/>
        </w:rPr>
        <w:t xml:space="preserve">grades </w:t>
      </w:r>
      <w:r w:rsidRPr="00231FA3">
        <w:rPr>
          <w:rFonts w:eastAsiaTheme="minorHAnsi"/>
        </w:rPr>
        <w:t>6 – 10.</w:t>
      </w:r>
    </w:p>
    <w:p w:rsidR="00231FA3" w:rsidRPr="00231FA3" w:rsidRDefault="00231FA3" w:rsidP="008E1A8A">
      <w:pPr>
        <w:numPr>
          <w:ilvl w:val="1"/>
          <w:numId w:val="28"/>
        </w:numPr>
        <w:tabs>
          <w:tab w:val="left" w:pos="1080"/>
        </w:tabs>
        <w:ind w:left="1080"/>
        <w:contextualSpacing/>
        <w:rPr>
          <w:rFonts w:eastAsiaTheme="minorHAnsi"/>
        </w:rPr>
      </w:pPr>
      <w:r w:rsidRPr="00B02E04">
        <w:rPr>
          <w:rFonts w:eastAsiaTheme="minorHAnsi"/>
          <w:b/>
        </w:rPr>
        <w:t>Comment</w:t>
      </w:r>
      <w:r w:rsidRPr="00231FA3">
        <w:rPr>
          <w:rFonts w:eastAsiaTheme="minorHAnsi"/>
        </w:rPr>
        <w:t>: Various</w:t>
      </w:r>
      <w:r w:rsidR="007B7704">
        <w:rPr>
          <w:rFonts w:eastAsiaTheme="minorHAnsi"/>
        </w:rPr>
        <w:t xml:space="preserve"> ways to give post secondary credit, but post secondary institutions</w:t>
      </w:r>
      <w:r w:rsidRPr="00231FA3">
        <w:rPr>
          <w:rFonts w:eastAsiaTheme="minorHAnsi"/>
        </w:rPr>
        <w:t xml:space="preserve"> need</w:t>
      </w:r>
      <w:r w:rsidR="007B7704">
        <w:rPr>
          <w:rFonts w:eastAsiaTheme="minorHAnsi"/>
        </w:rPr>
        <w:t xml:space="preserve"> to help remove (ACT, Dual Enrollment, etc.</w:t>
      </w:r>
      <w:r w:rsidRPr="00231FA3">
        <w:rPr>
          <w:rFonts w:eastAsiaTheme="minorHAnsi"/>
        </w:rPr>
        <w:t>) obstacles.</w:t>
      </w:r>
    </w:p>
    <w:p w:rsidR="00085E25" w:rsidRPr="00085E25" w:rsidRDefault="00085E25" w:rsidP="009A2354">
      <w:pPr>
        <w:contextualSpacing/>
        <w:rPr>
          <w:rFonts w:eastAsiaTheme="minorHAnsi"/>
          <w:b/>
        </w:rPr>
      </w:pPr>
      <w:r w:rsidRPr="00085E25">
        <w:rPr>
          <w:rFonts w:eastAsiaTheme="minorHAnsi"/>
          <w:b/>
        </w:rPr>
        <w:t>Closing</w:t>
      </w:r>
    </w:p>
    <w:p w:rsidR="00231FA3" w:rsidRPr="00231FA3" w:rsidRDefault="00085E25" w:rsidP="009A2354">
      <w:pPr>
        <w:tabs>
          <w:tab w:val="left" w:pos="0"/>
        </w:tabs>
        <w:ind w:firstLine="720"/>
        <w:contextualSpacing/>
        <w:rPr>
          <w:rFonts w:eastAsiaTheme="minorHAnsi"/>
        </w:rPr>
      </w:pPr>
      <w:r>
        <w:rPr>
          <w:rFonts w:eastAsiaTheme="minorHAnsi"/>
        </w:rPr>
        <w:t>Ms. Schum</w:t>
      </w:r>
      <w:r w:rsidR="00231FA3" w:rsidRPr="00231FA3">
        <w:rPr>
          <w:rFonts w:eastAsiaTheme="minorHAnsi"/>
        </w:rPr>
        <w:t xml:space="preserve"> mentioned </w:t>
      </w:r>
      <w:r>
        <w:rPr>
          <w:rFonts w:eastAsiaTheme="minorHAnsi"/>
        </w:rPr>
        <w:t xml:space="preserve">that </w:t>
      </w:r>
      <w:r w:rsidR="00BA38EB">
        <w:rPr>
          <w:rFonts w:eastAsiaTheme="minorHAnsi"/>
        </w:rPr>
        <w:t xml:space="preserve">we </w:t>
      </w:r>
      <w:r w:rsidR="00231FA3" w:rsidRPr="00231FA3">
        <w:rPr>
          <w:rFonts w:eastAsiaTheme="minorHAnsi"/>
        </w:rPr>
        <w:t xml:space="preserve">will bring </w:t>
      </w:r>
      <w:r>
        <w:rPr>
          <w:rFonts w:eastAsiaTheme="minorHAnsi"/>
        </w:rPr>
        <w:t xml:space="preserve">the </w:t>
      </w:r>
      <w:r w:rsidR="00231FA3" w:rsidRPr="00231FA3">
        <w:rPr>
          <w:rFonts w:eastAsiaTheme="minorHAnsi"/>
        </w:rPr>
        <w:t>CCR Report Card to BESE in Octob</w:t>
      </w:r>
      <w:r>
        <w:rPr>
          <w:rFonts w:eastAsiaTheme="minorHAnsi"/>
        </w:rPr>
        <w:t>er and invited written feedback.  She also invited suggestion for future CCR Commission meeting topics.</w:t>
      </w:r>
    </w:p>
    <w:p w:rsidR="001926A0" w:rsidRDefault="001926A0" w:rsidP="001C1675">
      <w:pPr>
        <w:ind w:left="2160" w:hanging="2160"/>
        <w:rPr>
          <w:b/>
        </w:rPr>
      </w:pPr>
    </w:p>
    <w:p w:rsidR="00E861B3" w:rsidRDefault="00223306" w:rsidP="001C1675">
      <w:pPr>
        <w:rPr>
          <w:b/>
        </w:rPr>
      </w:pPr>
      <w:r>
        <w:rPr>
          <w:b/>
        </w:rPr>
        <w:t xml:space="preserve">The meeting was adjourned at </w:t>
      </w:r>
      <w:r w:rsidR="00B02E04">
        <w:rPr>
          <w:b/>
        </w:rPr>
        <w:t xml:space="preserve">12 </w:t>
      </w:r>
      <w:r>
        <w:rPr>
          <w:b/>
        </w:rPr>
        <w:t>noon.</w:t>
      </w:r>
    </w:p>
    <w:sectPr w:rsidR="00E861B3" w:rsidSect="008E1A8A">
      <w:footerReference w:type="default" r:id="rId8"/>
      <w:pgSz w:w="12240" w:h="15840" w:code="1"/>
      <w:pgMar w:top="1008"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8A" w:rsidRDefault="008E1A8A">
      <w:r>
        <w:separator/>
      </w:r>
    </w:p>
  </w:endnote>
  <w:endnote w:type="continuationSeparator" w:id="0">
    <w:p w:rsidR="008E1A8A" w:rsidRDefault="008E1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01200"/>
      <w:docPartObj>
        <w:docPartGallery w:val="Page Numbers (Bottom of Page)"/>
        <w:docPartUnique/>
      </w:docPartObj>
    </w:sdtPr>
    <w:sdtContent>
      <w:p w:rsidR="008E1A8A" w:rsidRDefault="008E1A8A">
        <w:pPr>
          <w:pStyle w:val="Footer"/>
          <w:jc w:val="center"/>
        </w:pPr>
        <w:fldSimple w:instr=" PAGE   \* MERGEFORMAT ">
          <w:r w:rsidR="00330C83">
            <w:rPr>
              <w:noProof/>
            </w:rPr>
            <w:t>1</w:t>
          </w:r>
        </w:fldSimple>
      </w:p>
    </w:sdtContent>
  </w:sdt>
  <w:p w:rsidR="008E1A8A" w:rsidRDefault="008E1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8A" w:rsidRDefault="008E1A8A">
      <w:r>
        <w:separator/>
      </w:r>
    </w:p>
  </w:footnote>
  <w:footnote w:type="continuationSeparator" w:id="0">
    <w:p w:rsidR="008E1A8A" w:rsidRDefault="008E1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828"/>
    <w:multiLevelType w:val="hybridMultilevel"/>
    <w:tmpl w:val="1BD62D50"/>
    <w:lvl w:ilvl="0" w:tplc="04090001">
      <w:start w:val="1"/>
      <w:numFmt w:val="bullet"/>
      <w:lvlText w:val=""/>
      <w:lvlJc w:val="left"/>
      <w:pPr>
        <w:ind w:left="720" w:hanging="360"/>
      </w:pPr>
      <w:rPr>
        <w:rFonts w:ascii="Symbol" w:hAnsi="Symbol" w:hint="default"/>
      </w:rPr>
    </w:lvl>
    <w:lvl w:ilvl="1" w:tplc="FA820086">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FD9"/>
    <w:multiLevelType w:val="hybridMultilevel"/>
    <w:tmpl w:val="2290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00278E"/>
    <w:multiLevelType w:val="hybridMultilevel"/>
    <w:tmpl w:val="6EF0897E"/>
    <w:lvl w:ilvl="0" w:tplc="FA820086">
      <w:start w:val="1"/>
      <w:numFmt w:val="bullet"/>
      <w:lvlText w:val="o"/>
      <w:lvlJc w:val="left"/>
      <w:pPr>
        <w:ind w:left="720" w:hanging="360"/>
      </w:pPr>
      <w:rPr>
        <w:rFonts w:ascii="Courier New" w:hAnsi="Courier New" w:hint="default"/>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5D0A"/>
    <w:multiLevelType w:val="hybridMultilevel"/>
    <w:tmpl w:val="54909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6202F"/>
    <w:multiLevelType w:val="hybridMultilevel"/>
    <w:tmpl w:val="B48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962F2"/>
    <w:multiLevelType w:val="hybridMultilevel"/>
    <w:tmpl w:val="CFC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87A90"/>
    <w:multiLevelType w:val="hybridMultilevel"/>
    <w:tmpl w:val="08866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C5314"/>
    <w:multiLevelType w:val="hybridMultilevel"/>
    <w:tmpl w:val="CEC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829EE"/>
    <w:multiLevelType w:val="hybridMultilevel"/>
    <w:tmpl w:val="A66AA2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8E54A11"/>
    <w:multiLevelType w:val="hybridMultilevel"/>
    <w:tmpl w:val="72B60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9444E6"/>
    <w:multiLevelType w:val="hybridMultilevel"/>
    <w:tmpl w:val="D452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5D6D67"/>
    <w:multiLevelType w:val="hybridMultilevel"/>
    <w:tmpl w:val="C4EABE78"/>
    <w:lvl w:ilvl="0" w:tplc="FA820086">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901168"/>
    <w:multiLevelType w:val="hybridMultilevel"/>
    <w:tmpl w:val="E8AA5F44"/>
    <w:lvl w:ilvl="0" w:tplc="FA820086">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113E7"/>
    <w:multiLevelType w:val="hybridMultilevel"/>
    <w:tmpl w:val="87B8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334A4"/>
    <w:multiLevelType w:val="hybridMultilevel"/>
    <w:tmpl w:val="1FD0E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281D3F"/>
    <w:multiLevelType w:val="hybridMultilevel"/>
    <w:tmpl w:val="D9CE50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17ED6"/>
    <w:multiLevelType w:val="hybridMultilevel"/>
    <w:tmpl w:val="4C24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10C96"/>
    <w:multiLevelType w:val="hybridMultilevel"/>
    <w:tmpl w:val="1FECF6F4"/>
    <w:lvl w:ilvl="0" w:tplc="A65E0420">
      <w:start w:val="1"/>
      <w:numFmt w:val="bullet"/>
      <w:lvlText w:val="•"/>
      <w:lvlJc w:val="left"/>
      <w:pPr>
        <w:tabs>
          <w:tab w:val="num" w:pos="720"/>
        </w:tabs>
        <w:ind w:left="720" w:hanging="360"/>
      </w:pPr>
      <w:rPr>
        <w:rFonts w:ascii="Tahoma" w:hAnsi="Tahoma" w:hint="default"/>
      </w:rPr>
    </w:lvl>
    <w:lvl w:ilvl="1" w:tplc="93C8F582" w:tentative="1">
      <w:start w:val="1"/>
      <w:numFmt w:val="bullet"/>
      <w:lvlText w:val="•"/>
      <w:lvlJc w:val="left"/>
      <w:pPr>
        <w:tabs>
          <w:tab w:val="num" w:pos="1440"/>
        </w:tabs>
        <w:ind w:left="1440" w:hanging="360"/>
      </w:pPr>
      <w:rPr>
        <w:rFonts w:ascii="Tahoma" w:hAnsi="Tahoma" w:hint="default"/>
      </w:rPr>
    </w:lvl>
    <w:lvl w:ilvl="2" w:tplc="0CD81FFA" w:tentative="1">
      <w:start w:val="1"/>
      <w:numFmt w:val="bullet"/>
      <w:lvlText w:val="•"/>
      <w:lvlJc w:val="left"/>
      <w:pPr>
        <w:tabs>
          <w:tab w:val="num" w:pos="2160"/>
        </w:tabs>
        <w:ind w:left="2160" w:hanging="360"/>
      </w:pPr>
      <w:rPr>
        <w:rFonts w:ascii="Tahoma" w:hAnsi="Tahoma" w:hint="default"/>
      </w:rPr>
    </w:lvl>
    <w:lvl w:ilvl="3" w:tplc="FC921558" w:tentative="1">
      <w:start w:val="1"/>
      <w:numFmt w:val="bullet"/>
      <w:lvlText w:val="•"/>
      <w:lvlJc w:val="left"/>
      <w:pPr>
        <w:tabs>
          <w:tab w:val="num" w:pos="2880"/>
        </w:tabs>
        <w:ind w:left="2880" w:hanging="360"/>
      </w:pPr>
      <w:rPr>
        <w:rFonts w:ascii="Tahoma" w:hAnsi="Tahoma" w:hint="default"/>
      </w:rPr>
    </w:lvl>
    <w:lvl w:ilvl="4" w:tplc="43161F2C" w:tentative="1">
      <w:start w:val="1"/>
      <w:numFmt w:val="bullet"/>
      <w:lvlText w:val="•"/>
      <w:lvlJc w:val="left"/>
      <w:pPr>
        <w:tabs>
          <w:tab w:val="num" w:pos="3600"/>
        </w:tabs>
        <w:ind w:left="3600" w:hanging="360"/>
      </w:pPr>
      <w:rPr>
        <w:rFonts w:ascii="Tahoma" w:hAnsi="Tahoma" w:hint="default"/>
      </w:rPr>
    </w:lvl>
    <w:lvl w:ilvl="5" w:tplc="460C9FE6" w:tentative="1">
      <w:start w:val="1"/>
      <w:numFmt w:val="bullet"/>
      <w:lvlText w:val="•"/>
      <w:lvlJc w:val="left"/>
      <w:pPr>
        <w:tabs>
          <w:tab w:val="num" w:pos="4320"/>
        </w:tabs>
        <w:ind w:left="4320" w:hanging="360"/>
      </w:pPr>
      <w:rPr>
        <w:rFonts w:ascii="Tahoma" w:hAnsi="Tahoma" w:hint="default"/>
      </w:rPr>
    </w:lvl>
    <w:lvl w:ilvl="6" w:tplc="E584BE28" w:tentative="1">
      <w:start w:val="1"/>
      <w:numFmt w:val="bullet"/>
      <w:lvlText w:val="•"/>
      <w:lvlJc w:val="left"/>
      <w:pPr>
        <w:tabs>
          <w:tab w:val="num" w:pos="5040"/>
        </w:tabs>
        <w:ind w:left="5040" w:hanging="360"/>
      </w:pPr>
      <w:rPr>
        <w:rFonts w:ascii="Tahoma" w:hAnsi="Tahoma" w:hint="default"/>
      </w:rPr>
    </w:lvl>
    <w:lvl w:ilvl="7" w:tplc="9720445C" w:tentative="1">
      <w:start w:val="1"/>
      <w:numFmt w:val="bullet"/>
      <w:lvlText w:val="•"/>
      <w:lvlJc w:val="left"/>
      <w:pPr>
        <w:tabs>
          <w:tab w:val="num" w:pos="5760"/>
        </w:tabs>
        <w:ind w:left="5760" w:hanging="360"/>
      </w:pPr>
      <w:rPr>
        <w:rFonts w:ascii="Tahoma" w:hAnsi="Tahoma" w:hint="default"/>
      </w:rPr>
    </w:lvl>
    <w:lvl w:ilvl="8" w:tplc="1158D064" w:tentative="1">
      <w:start w:val="1"/>
      <w:numFmt w:val="bullet"/>
      <w:lvlText w:val="•"/>
      <w:lvlJc w:val="left"/>
      <w:pPr>
        <w:tabs>
          <w:tab w:val="num" w:pos="6480"/>
        </w:tabs>
        <w:ind w:left="6480" w:hanging="360"/>
      </w:pPr>
      <w:rPr>
        <w:rFonts w:ascii="Tahoma" w:hAnsi="Tahoma" w:hint="default"/>
      </w:rPr>
    </w:lvl>
  </w:abstractNum>
  <w:abstractNum w:abstractNumId="18">
    <w:nsid w:val="51E63CE4"/>
    <w:multiLevelType w:val="hybridMultilevel"/>
    <w:tmpl w:val="EDEC0A4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3B3398"/>
    <w:multiLevelType w:val="hybridMultilevel"/>
    <w:tmpl w:val="0C4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4192F"/>
    <w:multiLevelType w:val="hybridMultilevel"/>
    <w:tmpl w:val="C314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64901"/>
    <w:multiLevelType w:val="hybridMultilevel"/>
    <w:tmpl w:val="D916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A615D"/>
    <w:multiLevelType w:val="multilevel"/>
    <w:tmpl w:val="0C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9446D4"/>
    <w:multiLevelType w:val="hybridMultilevel"/>
    <w:tmpl w:val="5AA2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D5DC8"/>
    <w:multiLevelType w:val="hybridMultilevel"/>
    <w:tmpl w:val="F752A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5DA78A9"/>
    <w:multiLevelType w:val="hybridMultilevel"/>
    <w:tmpl w:val="77B8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0123E"/>
    <w:multiLevelType w:val="hybridMultilevel"/>
    <w:tmpl w:val="A77C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12961"/>
    <w:multiLevelType w:val="hybridMultilevel"/>
    <w:tmpl w:val="72C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6"/>
  </w:num>
  <w:num w:numId="4">
    <w:abstractNumId w:val="13"/>
  </w:num>
  <w:num w:numId="5">
    <w:abstractNumId w:val="1"/>
  </w:num>
  <w:num w:numId="6">
    <w:abstractNumId w:val="19"/>
  </w:num>
  <w:num w:numId="7">
    <w:abstractNumId w:val="7"/>
  </w:num>
  <w:num w:numId="8">
    <w:abstractNumId w:val="27"/>
  </w:num>
  <w:num w:numId="9">
    <w:abstractNumId w:val="10"/>
  </w:num>
  <w:num w:numId="10">
    <w:abstractNumId w:val="14"/>
  </w:num>
  <w:num w:numId="11">
    <w:abstractNumId w:val="5"/>
  </w:num>
  <w:num w:numId="12">
    <w:abstractNumId w:val="18"/>
  </w:num>
  <w:num w:numId="13">
    <w:abstractNumId w:val="8"/>
  </w:num>
  <w:num w:numId="14">
    <w:abstractNumId w:val="26"/>
  </w:num>
  <w:num w:numId="15">
    <w:abstractNumId w:val="9"/>
  </w:num>
  <w:num w:numId="16">
    <w:abstractNumId w:val="23"/>
  </w:num>
  <w:num w:numId="17">
    <w:abstractNumId w:val="3"/>
  </w:num>
  <w:num w:numId="18">
    <w:abstractNumId w:val="12"/>
  </w:num>
  <w:num w:numId="19">
    <w:abstractNumId w:val="20"/>
  </w:num>
  <w:num w:numId="20">
    <w:abstractNumId w:val="24"/>
  </w:num>
  <w:num w:numId="21">
    <w:abstractNumId w:val="15"/>
  </w:num>
  <w:num w:numId="22">
    <w:abstractNumId w:val="16"/>
  </w:num>
  <w:num w:numId="23">
    <w:abstractNumId w:val="4"/>
  </w:num>
  <w:num w:numId="24">
    <w:abstractNumId w:val="25"/>
  </w:num>
  <w:num w:numId="25">
    <w:abstractNumId w:val="21"/>
  </w:num>
  <w:num w:numId="26">
    <w:abstractNumId w:val="2"/>
  </w:num>
  <w:num w:numId="27">
    <w:abstractNumId w:val="1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3254B6"/>
    <w:rsid w:val="00001382"/>
    <w:rsid w:val="00007579"/>
    <w:rsid w:val="00010852"/>
    <w:rsid w:val="00020593"/>
    <w:rsid w:val="00025ECC"/>
    <w:rsid w:val="00042751"/>
    <w:rsid w:val="00042944"/>
    <w:rsid w:val="00060AA6"/>
    <w:rsid w:val="00061422"/>
    <w:rsid w:val="000673BD"/>
    <w:rsid w:val="0007168B"/>
    <w:rsid w:val="00085E25"/>
    <w:rsid w:val="000868AA"/>
    <w:rsid w:val="00094497"/>
    <w:rsid w:val="000A384C"/>
    <w:rsid w:val="000C5447"/>
    <w:rsid w:val="000D1C33"/>
    <w:rsid w:val="000E6B43"/>
    <w:rsid w:val="000F35C5"/>
    <w:rsid w:val="000F5A55"/>
    <w:rsid w:val="0010129D"/>
    <w:rsid w:val="00101FD9"/>
    <w:rsid w:val="00107D85"/>
    <w:rsid w:val="00110DB6"/>
    <w:rsid w:val="00130B83"/>
    <w:rsid w:val="001311B7"/>
    <w:rsid w:val="00143D42"/>
    <w:rsid w:val="00155BD8"/>
    <w:rsid w:val="00170950"/>
    <w:rsid w:val="001720E2"/>
    <w:rsid w:val="001731AA"/>
    <w:rsid w:val="001732C2"/>
    <w:rsid w:val="001772CF"/>
    <w:rsid w:val="00186285"/>
    <w:rsid w:val="00190683"/>
    <w:rsid w:val="00191DFC"/>
    <w:rsid w:val="001926A0"/>
    <w:rsid w:val="00197E28"/>
    <w:rsid w:val="001B56AD"/>
    <w:rsid w:val="001C1675"/>
    <w:rsid w:val="001D2962"/>
    <w:rsid w:val="001D7BA9"/>
    <w:rsid w:val="0021481A"/>
    <w:rsid w:val="002150F9"/>
    <w:rsid w:val="0021561A"/>
    <w:rsid w:val="00223306"/>
    <w:rsid w:val="00225F52"/>
    <w:rsid w:val="00227AE7"/>
    <w:rsid w:val="00231FA3"/>
    <w:rsid w:val="00237EAE"/>
    <w:rsid w:val="00256A9D"/>
    <w:rsid w:val="00262E9E"/>
    <w:rsid w:val="00282087"/>
    <w:rsid w:val="00283169"/>
    <w:rsid w:val="00284F00"/>
    <w:rsid w:val="00285494"/>
    <w:rsid w:val="00293441"/>
    <w:rsid w:val="002A22E2"/>
    <w:rsid w:val="002B179E"/>
    <w:rsid w:val="002E73E0"/>
    <w:rsid w:val="002F4587"/>
    <w:rsid w:val="002F5A79"/>
    <w:rsid w:val="00304035"/>
    <w:rsid w:val="00304CDB"/>
    <w:rsid w:val="00306534"/>
    <w:rsid w:val="00316B85"/>
    <w:rsid w:val="003254B6"/>
    <w:rsid w:val="00326791"/>
    <w:rsid w:val="0032697E"/>
    <w:rsid w:val="00330C83"/>
    <w:rsid w:val="00331F2B"/>
    <w:rsid w:val="003372D9"/>
    <w:rsid w:val="003463DA"/>
    <w:rsid w:val="00351F02"/>
    <w:rsid w:val="003523ED"/>
    <w:rsid w:val="00353060"/>
    <w:rsid w:val="00362FE5"/>
    <w:rsid w:val="00373A5D"/>
    <w:rsid w:val="003807A2"/>
    <w:rsid w:val="00395800"/>
    <w:rsid w:val="003B57B6"/>
    <w:rsid w:val="003C25BB"/>
    <w:rsid w:val="003D5958"/>
    <w:rsid w:val="003E433C"/>
    <w:rsid w:val="003F16A9"/>
    <w:rsid w:val="003F7A4C"/>
    <w:rsid w:val="0041170A"/>
    <w:rsid w:val="00421481"/>
    <w:rsid w:val="00423B7D"/>
    <w:rsid w:val="0043559A"/>
    <w:rsid w:val="004445F6"/>
    <w:rsid w:val="0044490C"/>
    <w:rsid w:val="00444B44"/>
    <w:rsid w:val="00453D93"/>
    <w:rsid w:val="00455F79"/>
    <w:rsid w:val="0045747D"/>
    <w:rsid w:val="00490453"/>
    <w:rsid w:val="00497C42"/>
    <w:rsid w:val="004A0B28"/>
    <w:rsid w:val="004A5E49"/>
    <w:rsid w:val="004B35FB"/>
    <w:rsid w:val="004D170C"/>
    <w:rsid w:val="004E1AEB"/>
    <w:rsid w:val="004E3AF4"/>
    <w:rsid w:val="004F4026"/>
    <w:rsid w:val="005018DD"/>
    <w:rsid w:val="0050459B"/>
    <w:rsid w:val="0050703C"/>
    <w:rsid w:val="00516314"/>
    <w:rsid w:val="00524081"/>
    <w:rsid w:val="005279C5"/>
    <w:rsid w:val="00533B88"/>
    <w:rsid w:val="00542C70"/>
    <w:rsid w:val="00547CD1"/>
    <w:rsid w:val="00575201"/>
    <w:rsid w:val="00597373"/>
    <w:rsid w:val="005B766D"/>
    <w:rsid w:val="005C06E2"/>
    <w:rsid w:val="005C6D85"/>
    <w:rsid w:val="005C7E4B"/>
    <w:rsid w:val="005E2595"/>
    <w:rsid w:val="005E3167"/>
    <w:rsid w:val="00632FE3"/>
    <w:rsid w:val="0063441E"/>
    <w:rsid w:val="0063789E"/>
    <w:rsid w:val="00650FAB"/>
    <w:rsid w:val="006560E2"/>
    <w:rsid w:val="006577B3"/>
    <w:rsid w:val="0067328F"/>
    <w:rsid w:val="00693E23"/>
    <w:rsid w:val="006A5E11"/>
    <w:rsid w:val="006B1391"/>
    <w:rsid w:val="006C41C6"/>
    <w:rsid w:val="006D1223"/>
    <w:rsid w:val="006D359C"/>
    <w:rsid w:val="006D5766"/>
    <w:rsid w:val="006D5916"/>
    <w:rsid w:val="006E4433"/>
    <w:rsid w:val="006E6027"/>
    <w:rsid w:val="006F4B21"/>
    <w:rsid w:val="0070388D"/>
    <w:rsid w:val="00710539"/>
    <w:rsid w:val="00722BCD"/>
    <w:rsid w:val="00726037"/>
    <w:rsid w:val="007365E0"/>
    <w:rsid w:val="00742D86"/>
    <w:rsid w:val="00754D6C"/>
    <w:rsid w:val="00757B00"/>
    <w:rsid w:val="007613D0"/>
    <w:rsid w:val="00762556"/>
    <w:rsid w:val="00770C99"/>
    <w:rsid w:val="007751A8"/>
    <w:rsid w:val="007868A7"/>
    <w:rsid w:val="00790E46"/>
    <w:rsid w:val="00792165"/>
    <w:rsid w:val="00794B85"/>
    <w:rsid w:val="007A0036"/>
    <w:rsid w:val="007A4662"/>
    <w:rsid w:val="007A679D"/>
    <w:rsid w:val="007B5E65"/>
    <w:rsid w:val="007B7704"/>
    <w:rsid w:val="007C06DF"/>
    <w:rsid w:val="007C1584"/>
    <w:rsid w:val="007C45A7"/>
    <w:rsid w:val="007D2FEE"/>
    <w:rsid w:val="007E0C72"/>
    <w:rsid w:val="007E7C4E"/>
    <w:rsid w:val="007F01CD"/>
    <w:rsid w:val="007F3DB6"/>
    <w:rsid w:val="007F7DDC"/>
    <w:rsid w:val="008040B5"/>
    <w:rsid w:val="0080416B"/>
    <w:rsid w:val="00814823"/>
    <w:rsid w:val="0081782C"/>
    <w:rsid w:val="00822198"/>
    <w:rsid w:val="008247AB"/>
    <w:rsid w:val="00836E8F"/>
    <w:rsid w:val="00842A68"/>
    <w:rsid w:val="00876F01"/>
    <w:rsid w:val="0089253B"/>
    <w:rsid w:val="00893F99"/>
    <w:rsid w:val="008A0378"/>
    <w:rsid w:val="008A0D84"/>
    <w:rsid w:val="008B01A6"/>
    <w:rsid w:val="008B1797"/>
    <w:rsid w:val="008B68DC"/>
    <w:rsid w:val="008B7F37"/>
    <w:rsid w:val="008D79EB"/>
    <w:rsid w:val="008E1A8A"/>
    <w:rsid w:val="008E4F2E"/>
    <w:rsid w:val="008E51AC"/>
    <w:rsid w:val="00913FDF"/>
    <w:rsid w:val="00936FB5"/>
    <w:rsid w:val="00942A72"/>
    <w:rsid w:val="00960251"/>
    <w:rsid w:val="00963963"/>
    <w:rsid w:val="00965A98"/>
    <w:rsid w:val="009850BC"/>
    <w:rsid w:val="00986D1D"/>
    <w:rsid w:val="00993F56"/>
    <w:rsid w:val="00997207"/>
    <w:rsid w:val="009A2354"/>
    <w:rsid w:val="009A2663"/>
    <w:rsid w:val="009A3CFC"/>
    <w:rsid w:val="009A4543"/>
    <w:rsid w:val="009A5256"/>
    <w:rsid w:val="009B13A7"/>
    <w:rsid w:val="009B1CA7"/>
    <w:rsid w:val="00A05346"/>
    <w:rsid w:val="00A058FD"/>
    <w:rsid w:val="00A06CFF"/>
    <w:rsid w:val="00A129FA"/>
    <w:rsid w:val="00A17420"/>
    <w:rsid w:val="00A17C49"/>
    <w:rsid w:val="00A305C3"/>
    <w:rsid w:val="00A34705"/>
    <w:rsid w:val="00A50277"/>
    <w:rsid w:val="00A61093"/>
    <w:rsid w:val="00A6376E"/>
    <w:rsid w:val="00A75DC6"/>
    <w:rsid w:val="00A80D05"/>
    <w:rsid w:val="00A93D8D"/>
    <w:rsid w:val="00A96FCB"/>
    <w:rsid w:val="00AA1F96"/>
    <w:rsid w:val="00AA3781"/>
    <w:rsid w:val="00AC10DC"/>
    <w:rsid w:val="00AC5288"/>
    <w:rsid w:val="00AC7C43"/>
    <w:rsid w:val="00AE79DB"/>
    <w:rsid w:val="00AF26AD"/>
    <w:rsid w:val="00AF3643"/>
    <w:rsid w:val="00AF6855"/>
    <w:rsid w:val="00B02E04"/>
    <w:rsid w:val="00B05362"/>
    <w:rsid w:val="00B07654"/>
    <w:rsid w:val="00B21676"/>
    <w:rsid w:val="00B21A9C"/>
    <w:rsid w:val="00B23C0B"/>
    <w:rsid w:val="00B259C6"/>
    <w:rsid w:val="00B63800"/>
    <w:rsid w:val="00B64650"/>
    <w:rsid w:val="00B702CE"/>
    <w:rsid w:val="00B72692"/>
    <w:rsid w:val="00B7786D"/>
    <w:rsid w:val="00B87C14"/>
    <w:rsid w:val="00BA38EB"/>
    <w:rsid w:val="00BA6746"/>
    <w:rsid w:val="00BA7B3F"/>
    <w:rsid w:val="00BC7C08"/>
    <w:rsid w:val="00BD7459"/>
    <w:rsid w:val="00BE294E"/>
    <w:rsid w:val="00BF77AF"/>
    <w:rsid w:val="00C002D5"/>
    <w:rsid w:val="00C038D2"/>
    <w:rsid w:val="00C076C7"/>
    <w:rsid w:val="00C26988"/>
    <w:rsid w:val="00C31412"/>
    <w:rsid w:val="00C314E0"/>
    <w:rsid w:val="00C50E60"/>
    <w:rsid w:val="00C5115C"/>
    <w:rsid w:val="00C52CC9"/>
    <w:rsid w:val="00C5361B"/>
    <w:rsid w:val="00C62FEC"/>
    <w:rsid w:val="00C7120C"/>
    <w:rsid w:val="00C83DD4"/>
    <w:rsid w:val="00C84003"/>
    <w:rsid w:val="00C856C8"/>
    <w:rsid w:val="00C864BA"/>
    <w:rsid w:val="00C936B6"/>
    <w:rsid w:val="00C96209"/>
    <w:rsid w:val="00CB2E29"/>
    <w:rsid w:val="00CC56DA"/>
    <w:rsid w:val="00CD2403"/>
    <w:rsid w:val="00CD5B86"/>
    <w:rsid w:val="00CE23D3"/>
    <w:rsid w:val="00D0608C"/>
    <w:rsid w:val="00D060BF"/>
    <w:rsid w:val="00D12054"/>
    <w:rsid w:val="00D132D6"/>
    <w:rsid w:val="00D31029"/>
    <w:rsid w:val="00D57F94"/>
    <w:rsid w:val="00D61416"/>
    <w:rsid w:val="00D71445"/>
    <w:rsid w:val="00D84DEE"/>
    <w:rsid w:val="00D86A6E"/>
    <w:rsid w:val="00D9375C"/>
    <w:rsid w:val="00DA3447"/>
    <w:rsid w:val="00DC41AD"/>
    <w:rsid w:val="00DD2CB1"/>
    <w:rsid w:val="00DD4EA2"/>
    <w:rsid w:val="00DE72E4"/>
    <w:rsid w:val="00DF030E"/>
    <w:rsid w:val="00DF18FF"/>
    <w:rsid w:val="00E0745B"/>
    <w:rsid w:val="00E12466"/>
    <w:rsid w:val="00E14AE7"/>
    <w:rsid w:val="00E14F1D"/>
    <w:rsid w:val="00E25FD4"/>
    <w:rsid w:val="00E3383D"/>
    <w:rsid w:val="00E435FA"/>
    <w:rsid w:val="00E60A9A"/>
    <w:rsid w:val="00E60CA0"/>
    <w:rsid w:val="00E7427D"/>
    <w:rsid w:val="00E81BD9"/>
    <w:rsid w:val="00E841AB"/>
    <w:rsid w:val="00E861B3"/>
    <w:rsid w:val="00E9229A"/>
    <w:rsid w:val="00E95747"/>
    <w:rsid w:val="00E95865"/>
    <w:rsid w:val="00E97905"/>
    <w:rsid w:val="00EA719A"/>
    <w:rsid w:val="00EA7F43"/>
    <w:rsid w:val="00EB0146"/>
    <w:rsid w:val="00EB3972"/>
    <w:rsid w:val="00ED6218"/>
    <w:rsid w:val="00EE515C"/>
    <w:rsid w:val="00EF639A"/>
    <w:rsid w:val="00F1231A"/>
    <w:rsid w:val="00F22E2D"/>
    <w:rsid w:val="00F264C9"/>
    <w:rsid w:val="00F41C6E"/>
    <w:rsid w:val="00F434B2"/>
    <w:rsid w:val="00F5555E"/>
    <w:rsid w:val="00F55D78"/>
    <w:rsid w:val="00F60658"/>
    <w:rsid w:val="00F710C7"/>
    <w:rsid w:val="00F76357"/>
    <w:rsid w:val="00F87AE6"/>
    <w:rsid w:val="00FA12A9"/>
    <w:rsid w:val="00FA2B40"/>
    <w:rsid w:val="00FB05A4"/>
    <w:rsid w:val="00FB264D"/>
    <w:rsid w:val="00FC4531"/>
    <w:rsid w:val="00FE6DD5"/>
    <w:rsid w:val="00FF660F"/>
    <w:rsid w:val="00FF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semiHidden/>
    <w:rsid w:val="00F5555E"/>
    <w:rPr>
      <w:rFonts w:ascii="Tahoma" w:hAnsi="Tahoma" w:cs="Tahoma"/>
      <w:sz w:val="16"/>
      <w:szCs w:val="16"/>
    </w:rPr>
  </w:style>
  <w:style w:type="paragraph" w:styleId="Header">
    <w:name w:val="header"/>
    <w:basedOn w:val="Normal"/>
    <w:link w:val="HeaderChar"/>
    <w:uiPriority w:val="99"/>
    <w:rsid w:val="00010852"/>
    <w:pPr>
      <w:tabs>
        <w:tab w:val="center" w:pos="4320"/>
        <w:tab w:val="right" w:pos="8640"/>
      </w:tabs>
    </w:pPr>
  </w:style>
  <w:style w:type="paragraph" w:styleId="Footer">
    <w:name w:val="footer"/>
    <w:basedOn w:val="Normal"/>
    <w:link w:val="FooterChar"/>
    <w:uiPriority w:val="99"/>
    <w:rsid w:val="00010852"/>
    <w:pPr>
      <w:tabs>
        <w:tab w:val="center" w:pos="4320"/>
        <w:tab w:val="right" w:pos="8640"/>
      </w:tabs>
    </w:pPr>
  </w:style>
  <w:style w:type="paragraph" w:styleId="Revision">
    <w:name w:val="Revision"/>
    <w:hidden/>
    <w:uiPriority w:val="99"/>
    <w:semiHidden/>
    <w:rsid w:val="00490453"/>
    <w:rPr>
      <w:sz w:val="24"/>
      <w:szCs w:val="24"/>
    </w:rPr>
  </w:style>
  <w:style w:type="character" w:customStyle="1" w:styleId="Heading3Char">
    <w:name w:val="Heading 3 Char"/>
    <w:basedOn w:val="DefaultParagraphFont"/>
    <w:link w:val="Heading3"/>
    <w:rsid w:val="00331F2B"/>
    <w:rPr>
      <w:rFonts w:ascii="Cambria" w:eastAsia="Times New Roman" w:hAnsi="Cambria" w:cs="Times New Roman"/>
      <w:b/>
      <w:bCs/>
      <w:sz w:val="26"/>
      <w:szCs w:val="26"/>
    </w:rPr>
  </w:style>
  <w:style w:type="character" w:customStyle="1" w:styleId="Heading1Char">
    <w:name w:val="Heading 1 Char"/>
    <w:basedOn w:val="DefaultParagraphFont"/>
    <w:link w:val="Heading1"/>
    <w:rsid w:val="00331F2B"/>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0F5A55"/>
    <w:rPr>
      <w:sz w:val="24"/>
      <w:szCs w:val="24"/>
    </w:rPr>
  </w:style>
  <w:style w:type="table" w:styleId="TableGrid">
    <w:name w:val="Table Grid"/>
    <w:basedOn w:val="TableNormal"/>
    <w:rsid w:val="006D5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4F1D"/>
    <w:pPr>
      <w:ind w:left="720"/>
      <w:contextualSpacing/>
    </w:pPr>
  </w:style>
  <w:style w:type="character" w:customStyle="1" w:styleId="Heading2Char">
    <w:name w:val="Heading 2 Char"/>
    <w:basedOn w:val="DefaultParagraphFont"/>
    <w:link w:val="Heading2"/>
    <w:uiPriority w:val="9"/>
    <w:rsid w:val="00C864BA"/>
    <w:rPr>
      <w:b/>
      <w:bCs/>
      <w:iCs/>
      <w:sz w:val="32"/>
      <w:szCs w:val="32"/>
    </w:rPr>
  </w:style>
  <w:style w:type="paragraph" w:customStyle="1" w:styleId="Default">
    <w:name w:val="Default"/>
    <w:rsid w:val="0082219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A38EB"/>
    <w:rPr>
      <w:sz w:val="24"/>
      <w:szCs w:val="24"/>
    </w:rPr>
  </w:style>
</w:styles>
</file>

<file path=word/webSettings.xml><?xml version="1.0" encoding="utf-8"?>
<w:webSettings xmlns:r="http://schemas.openxmlformats.org/officeDocument/2006/relationships" xmlns:w="http://schemas.openxmlformats.org/wordprocessingml/2006/main">
  <w:divs>
    <w:div w:id="287859210">
      <w:bodyDiv w:val="1"/>
      <w:marLeft w:val="0"/>
      <w:marRight w:val="0"/>
      <w:marTop w:val="0"/>
      <w:marBottom w:val="0"/>
      <w:divBdr>
        <w:top w:val="none" w:sz="0" w:space="0" w:color="auto"/>
        <w:left w:val="none" w:sz="0" w:space="0" w:color="auto"/>
        <w:bottom w:val="none" w:sz="0" w:space="0" w:color="auto"/>
        <w:right w:val="none" w:sz="0" w:space="0" w:color="auto"/>
      </w:divBdr>
      <w:divsChild>
        <w:div w:id="148182104">
          <w:marLeft w:val="547"/>
          <w:marRight w:val="0"/>
          <w:marTop w:val="134"/>
          <w:marBottom w:val="0"/>
          <w:divBdr>
            <w:top w:val="none" w:sz="0" w:space="0" w:color="auto"/>
            <w:left w:val="none" w:sz="0" w:space="0" w:color="auto"/>
            <w:bottom w:val="none" w:sz="0" w:space="0" w:color="auto"/>
            <w:right w:val="none" w:sz="0" w:space="0" w:color="auto"/>
          </w:divBdr>
        </w:div>
        <w:div w:id="401029201">
          <w:marLeft w:val="547"/>
          <w:marRight w:val="0"/>
          <w:marTop w:val="134"/>
          <w:marBottom w:val="0"/>
          <w:divBdr>
            <w:top w:val="none" w:sz="0" w:space="0" w:color="auto"/>
            <w:left w:val="none" w:sz="0" w:space="0" w:color="auto"/>
            <w:bottom w:val="none" w:sz="0" w:space="0" w:color="auto"/>
            <w:right w:val="none" w:sz="0" w:space="0" w:color="auto"/>
          </w:divBdr>
        </w:div>
        <w:div w:id="452409638">
          <w:marLeft w:val="547"/>
          <w:marRight w:val="0"/>
          <w:marTop w:val="134"/>
          <w:marBottom w:val="0"/>
          <w:divBdr>
            <w:top w:val="none" w:sz="0" w:space="0" w:color="auto"/>
            <w:left w:val="none" w:sz="0" w:space="0" w:color="auto"/>
            <w:bottom w:val="none" w:sz="0" w:space="0" w:color="auto"/>
            <w:right w:val="none" w:sz="0" w:space="0" w:color="auto"/>
          </w:divBdr>
        </w:div>
        <w:div w:id="1183088331">
          <w:marLeft w:val="547"/>
          <w:marRight w:val="0"/>
          <w:marTop w:val="134"/>
          <w:marBottom w:val="0"/>
          <w:divBdr>
            <w:top w:val="none" w:sz="0" w:space="0" w:color="auto"/>
            <w:left w:val="none" w:sz="0" w:space="0" w:color="auto"/>
            <w:bottom w:val="none" w:sz="0" w:space="0" w:color="auto"/>
            <w:right w:val="none" w:sz="0" w:space="0" w:color="auto"/>
          </w:divBdr>
        </w:div>
        <w:div w:id="1399401512">
          <w:marLeft w:val="547"/>
          <w:marRight w:val="0"/>
          <w:marTop w:val="134"/>
          <w:marBottom w:val="0"/>
          <w:divBdr>
            <w:top w:val="none" w:sz="0" w:space="0" w:color="auto"/>
            <w:left w:val="none" w:sz="0" w:space="0" w:color="auto"/>
            <w:bottom w:val="none" w:sz="0" w:space="0" w:color="auto"/>
            <w:right w:val="none" w:sz="0" w:space="0" w:color="auto"/>
          </w:divBdr>
        </w:div>
        <w:div w:id="2096590701">
          <w:marLeft w:val="547"/>
          <w:marRight w:val="0"/>
          <w:marTop w:val="134"/>
          <w:marBottom w:val="0"/>
          <w:divBdr>
            <w:top w:val="none" w:sz="0" w:space="0" w:color="auto"/>
            <w:left w:val="none" w:sz="0" w:space="0" w:color="auto"/>
            <w:bottom w:val="none" w:sz="0" w:space="0" w:color="auto"/>
            <w:right w:val="none" w:sz="0" w:space="0" w:color="auto"/>
          </w:divBdr>
        </w:div>
      </w:divsChild>
    </w:div>
    <w:div w:id="311327257">
      <w:bodyDiv w:val="1"/>
      <w:marLeft w:val="0"/>
      <w:marRight w:val="0"/>
      <w:marTop w:val="0"/>
      <w:marBottom w:val="0"/>
      <w:divBdr>
        <w:top w:val="none" w:sz="0" w:space="0" w:color="auto"/>
        <w:left w:val="none" w:sz="0" w:space="0" w:color="auto"/>
        <w:bottom w:val="none" w:sz="0" w:space="0" w:color="auto"/>
        <w:right w:val="none" w:sz="0" w:space="0" w:color="auto"/>
      </w:divBdr>
    </w:div>
    <w:div w:id="660740566">
      <w:bodyDiv w:val="1"/>
      <w:marLeft w:val="0"/>
      <w:marRight w:val="0"/>
      <w:marTop w:val="0"/>
      <w:marBottom w:val="0"/>
      <w:divBdr>
        <w:top w:val="none" w:sz="0" w:space="0" w:color="auto"/>
        <w:left w:val="none" w:sz="0" w:space="0" w:color="auto"/>
        <w:bottom w:val="none" w:sz="0" w:space="0" w:color="auto"/>
        <w:right w:val="none" w:sz="0" w:space="0" w:color="auto"/>
      </w:divBdr>
      <w:divsChild>
        <w:div w:id="124206529">
          <w:marLeft w:val="0"/>
          <w:marRight w:val="0"/>
          <w:marTop w:val="0"/>
          <w:marBottom w:val="0"/>
          <w:divBdr>
            <w:top w:val="none" w:sz="0" w:space="0" w:color="auto"/>
            <w:left w:val="none" w:sz="0" w:space="0" w:color="auto"/>
            <w:bottom w:val="none" w:sz="0" w:space="0" w:color="auto"/>
            <w:right w:val="none" w:sz="0" w:space="0" w:color="auto"/>
          </w:divBdr>
        </w:div>
      </w:divsChild>
    </w:div>
    <w:div w:id="718432387">
      <w:bodyDiv w:val="1"/>
      <w:marLeft w:val="0"/>
      <w:marRight w:val="0"/>
      <w:marTop w:val="0"/>
      <w:marBottom w:val="0"/>
      <w:divBdr>
        <w:top w:val="none" w:sz="0" w:space="0" w:color="auto"/>
        <w:left w:val="none" w:sz="0" w:space="0" w:color="auto"/>
        <w:bottom w:val="none" w:sz="0" w:space="0" w:color="auto"/>
        <w:right w:val="none" w:sz="0" w:space="0" w:color="auto"/>
      </w:divBdr>
    </w:div>
    <w:div w:id="1032223158">
      <w:bodyDiv w:val="1"/>
      <w:marLeft w:val="0"/>
      <w:marRight w:val="0"/>
      <w:marTop w:val="0"/>
      <w:marBottom w:val="0"/>
      <w:divBdr>
        <w:top w:val="none" w:sz="0" w:space="0" w:color="auto"/>
        <w:left w:val="none" w:sz="0" w:space="0" w:color="auto"/>
        <w:bottom w:val="none" w:sz="0" w:space="0" w:color="auto"/>
        <w:right w:val="none" w:sz="0" w:space="0" w:color="auto"/>
      </w:divBdr>
    </w:div>
    <w:div w:id="1057508454">
      <w:bodyDiv w:val="1"/>
      <w:marLeft w:val="0"/>
      <w:marRight w:val="0"/>
      <w:marTop w:val="0"/>
      <w:marBottom w:val="0"/>
      <w:divBdr>
        <w:top w:val="none" w:sz="0" w:space="0" w:color="auto"/>
        <w:left w:val="none" w:sz="0" w:space="0" w:color="auto"/>
        <w:bottom w:val="none" w:sz="0" w:space="0" w:color="auto"/>
        <w:right w:val="none" w:sz="0" w:space="0" w:color="auto"/>
      </w:divBdr>
    </w:div>
    <w:div w:id="1342271895">
      <w:bodyDiv w:val="1"/>
      <w:marLeft w:val="0"/>
      <w:marRight w:val="0"/>
      <w:marTop w:val="0"/>
      <w:marBottom w:val="0"/>
      <w:divBdr>
        <w:top w:val="none" w:sz="0" w:space="0" w:color="auto"/>
        <w:left w:val="none" w:sz="0" w:space="0" w:color="auto"/>
        <w:bottom w:val="none" w:sz="0" w:space="0" w:color="auto"/>
        <w:right w:val="none" w:sz="0" w:space="0" w:color="auto"/>
      </w:divBdr>
    </w:div>
    <w:div w:id="1569337908">
      <w:bodyDiv w:val="1"/>
      <w:marLeft w:val="0"/>
      <w:marRight w:val="0"/>
      <w:marTop w:val="0"/>
      <w:marBottom w:val="0"/>
      <w:divBdr>
        <w:top w:val="none" w:sz="0" w:space="0" w:color="auto"/>
        <w:left w:val="none" w:sz="0" w:space="0" w:color="auto"/>
        <w:bottom w:val="none" w:sz="0" w:space="0" w:color="auto"/>
        <w:right w:val="none" w:sz="0" w:space="0" w:color="auto"/>
      </w:divBdr>
    </w:div>
    <w:div w:id="1778677880">
      <w:bodyDiv w:val="1"/>
      <w:marLeft w:val="150"/>
      <w:marRight w:val="0"/>
      <w:marTop w:val="375"/>
      <w:marBottom w:val="0"/>
      <w:divBdr>
        <w:top w:val="none" w:sz="0" w:space="0" w:color="auto"/>
        <w:left w:val="none" w:sz="0" w:space="0" w:color="auto"/>
        <w:bottom w:val="none" w:sz="0" w:space="0" w:color="auto"/>
        <w:right w:val="none" w:sz="0" w:space="0" w:color="auto"/>
      </w:divBdr>
      <w:divsChild>
        <w:div w:id="944114298">
          <w:marLeft w:val="0"/>
          <w:marRight w:val="0"/>
          <w:marTop w:val="0"/>
          <w:marBottom w:val="0"/>
          <w:divBdr>
            <w:top w:val="none" w:sz="0" w:space="0" w:color="auto"/>
            <w:left w:val="none" w:sz="0" w:space="0" w:color="auto"/>
            <w:bottom w:val="none" w:sz="0" w:space="0" w:color="auto"/>
            <w:right w:val="none" w:sz="0" w:space="0" w:color="auto"/>
          </w:divBdr>
        </w:div>
      </w:divsChild>
    </w:div>
    <w:div w:id="1808862266">
      <w:bodyDiv w:val="1"/>
      <w:marLeft w:val="0"/>
      <w:marRight w:val="0"/>
      <w:marTop w:val="0"/>
      <w:marBottom w:val="0"/>
      <w:divBdr>
        <w:top w:val="none" w:sz="0" w:space="0" w:color="auto"/>
        <w:left w:val="none" w:sz="0" w:space="0" w:color="auto"/>
        <w:bottom w:val="none" w:sz="0" w:space="0" w:color="auto"/>
        <w:right w:val="none" w:sz="0" w:space="0" w:color="auto"/>
      </w:divBdr>
      <w:divsChild>
        <w:div w:id="1443379026">
          <w:marLeft w:val="0"/>
          <w:marRight w:val="0"/>
          <w:marTop w:val="0"/>
          <w:marBottom w:val="0"/>
          <w:divBdr>
            <w:top w:val="none" w:sz="0" w:space="0" w:color="auto"/>
            <w:left w:val="none" w:sz="0" w:space="0" w:color="auto"/>
            <w:bottom w:val="none" w:sz="0" w:space="0" w:color="auto"/>
            <w:right w:val="none" w:sz="0" w:space="0" w:color="auto"/>
          </w:divBdr>
          <w:divsChild>
            <w:div w:id="914705439">
              <w:marLeft w:val="0"/>
              <w:marRight w:val="0"/>
              <w:marTop w:val="0"/>
              <w:marBottom w:val="0"/>
              <w:divBdr>
                <w:top w:val="none" w:sz="0" w:space="0" w:color="auto"/>
                <w:left w:val="none" w:sz="0" w:space="0" w:color="auto"/>
                <w:bottom w:val="none" w:sz="0" w:space="0" w:color="auto"/>
                <w:right w:val="none" w:sz="0" w:space="0" w:color="auto"/>
              </w:divBdr>
              <w:divsChild>
                <w:div w:id="1832866413">
                  <w:marLeft w:val="0"/>
                  <w:marRight w:val="0"/>
                  <w:marTop w:val="0"/>
                  <w:marBottom w:val="0"/>
                  <w:divBdr>
                    <w:top w:val="none" w:sz="0" w:space="0" w:color="auto"/>
                    <w:left w:val="none" w:sz="0" w:space="0" w:color="auto"/>
                    <w:bottom w:val="none" w:sz="0" w:space="0" w:color="auto"/>
                    <w:right w:val="none" w:sz="0" w:space="0" w:color="auto"/>
                  </w:divBdr>
                  <w:divsChild>
                    <w:div w:id="81966285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E226-15E3-4DAF-AAAF-2CD3D903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1384</Words>
  <Characters>7175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Louisiana Department of Education</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Josh Posey</dc:creator>
  <cp:keywords/>
  <dc:description/>
  <cp:lastModifiedBy>Wendy Thibodeaux</cp:lastModifiedBy>
  <cp:revision>9</cp:revision>
  <cp:lastPrinted>2011-12-07T20:27:00Z</cp:lastPrinted>
  <dcterms:created xsi:type="dcterms:W3CDTF">2011-10-20T22:26:00Z</dcterms:created>
  <dcterms:modified xsi:type="dcterms:W3CDTF">2011-12-07T20:27:00Z</dcterms:modified>
</cp:coreProperties>
</file>